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28"/>
          <w:szCs w:val="28"/>
          <w:lang w:val="en-US" w:eastAsia="zh-CN"/>
        </w:rPr>
      </w:pPr>
      <w:r>
        <w:rPr>
          <w:rFonts w:hint="eastAsia"/>
          <w:b/>
          <w:sz w:val="28"/>
          <w:szCs w:val="28"/>
        </w:rPr>
        <w:t>智能琴房管理系统项目</w:t>
      </w:r>
      <w:r>
        <w:rPr>
          <w:rFonts w:hint="eastAsia"/>
          <w:b/>
          <w:sz w:val="28"/>
          <w:szCs w:val="28"/>
          <w:lang w:val="en-US" w:eastAsia="zh-CN"/>
        </w:rPr>
        <w:t>明细报价表</w:t>
      </w:r>
      <w:bookmarkStart w:id="0" w:name="_GoBack"/>
      <w:bookmarkEnd w:id="0"/>
    </w:p>
    <w:tbl>
      <w:tblPr>
        <w:tblStyle w:val="5"/>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9079"/>
        <w:gridCol w:w="436"/>
        <w:gridCol w:w="551"/>
        <w:gridCol w:w="84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编号</w:t>
            </w:r>
          </w:p>
        </w:tc>
        <w:tc>
          <w:tcPr>
            <w:tcW w:w="1484"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设</w:t>
            </w:r>
            <w:r>
              <w:rPr>
                <w:rFonts w:ascii="宋体" w:hAnsi="宋体" w:eastAsia="宋体" w:cs="Times New Roman"/>
                <w:color w:val="000000" w:themeColor="text1"/>
                <w:kern w:val="0"/>
                <w:sz w:val="20"/>
                <w:szCs w:val="20"/>
              </w:rPr>
              <w:t xml:space="preserve"> </w:t>
            </w:r>
            <w:r>
              <w:rPr>
                <w:rFonts w:hint="eastAsia" w:ascii="宋体" w:hAnsi="宋体" w:eastAsia="宋体" w:cs="宋体"/>
                <w:color w:val="000000" w:themeColor="text1"/>
                <w:kern w:val="0"/>
                <w:sz w:val="20"/>
                <w:szCs w:val="20"/>
              </w:rPr>
              <w:t>备</w:t>
            </w:r>
            <w:r>
              <w:rPr>
                <w:rFonts w:ascii="宋体" w:hAnsi="宋体" w:eastAsia="宋体" w:cs="Times New Roman"/>
                <w:color w:val="000000" w:themeColor="text1"/>
                <w:kern w:val="0"/>
                <w:sz w:val="20"/>
                <w:szCs w:val="20"/>
              </w:rPr>
              <w:t xml:space="preserve"> </w:t>
            </w:r>
            <w:r>
              <w:rPr>
                <w:rFonts w:hint="eastAsia" w:ascii="宋体" w:hAnsi="宋体" w:eastAsia="宋体" w:cs="宋体"/>
                <w:color w:val="000000" w:themeColor="text1"/>
                <w:kern w:val="0"/>
                <w:sz w:val="20"/>
                <w:szCs w:val="20"/>
              </w:rPr>
              <w:t>名</w:t>
            </w:r>
            <w:r>
              <w:rPr>
                <w:rFonts w:ascii="宋体" w:hAnsi="宋体" w:eastAsia="宋体" w:cs="Times New Roman"/>
                <w:color w:val="000000" w:themeColor="text1"/>
                <w:kern w:val="0"/>
                <w:sz w:val="20"/>
                <w:szCs w:val="20"/>
              </w:rPr>
              <w:t xml:space="preserve"> </w:t>
            </w:r>
            <w:r>
              <w:rPr>
                <w:rFonts w:hint="eastAsia" w:ascii="宋体" w:hAnsi="宋体" w:eastAsia="宋体" w:cs="宋体"/>
                <w:color w:val="000000" w:themeColor="text1"/>
                <w:kern w:val="0"/>
                <w:sz w:val="20"/>
                <w:szCs w:val="20"/>
              </w:rPr>
              <w:t>称</w:t>
            </w:r>
          </w:p>
        </w:tc>
        <w:tc>
          <w:tcPr>
            <w:tcW w:w="9079"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参数</w:t>
            </w:r>
          </w:p>
        </w:tc>
        <w:tc>
          <w:tcPr>
            <w:tcW w:w="436"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单</w:t>
            </w:r>
            <w:r>
              <w:rPr>
                <w:rFonts w:ascii="宋体" w:hAnsi="宋体" w:eastAsia="宋体" w:cs="Times New Roman"/>
                <w:color w:val="000000" w:themeColor="text1"/>
                <w:kern w:val="0"/>
                <w:sz w:val="20"/>
                <w:szCs w:val="20"/>
              </w:rPr>
              <w:t xml:space="preserve"> </w:t>
            </w:r>
            <w:r>
              <w:rPr>
                <w:rFonts w:hint="eastAsia" w:ascii="宋体" w:hAnsi="宋体" w:eastAsia="宋体" w:cs="宋体"/>
                <w:color w:val="000000" w:themeColor="text1"/>
                <w:kern w:val="0"/>
                <w:sz w:val="20"/>
                <w:szCs w:val="20"/>
              </w:rPr>
              <w:t>位</w:t>
            </w:r>
          </w:p>
        </w:tc>
        <w:tc>
          <w:tcPr>
            <w:tcW w:w="551"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数</w:t>
            </w:r>
            <w:r>
              <w:rPr>
                <w:rFonts w:ascii="宋体" w:hAnsi="宋体" w:eastAsia="宋体" w:cs="Times New Roman"/>
                <w:color w:val="000000" w:themeColor="text1"/>
                <w:kern w:val="0"/>
                <w:sz w:val="20"/>
                <w:szCs w:val="20"/>
              </w:rPr>
              <w:t xml:space="preserve"> </w:t>
            </w:r>
            <w:r>
              <w:rPr>
                <w:rFonts w:hint="eastAsia" w:ascii="宋体" w:hAnsi="宋体" w:eastAsia="宋体" w:cs="宋体"/>
                <w:color w:val="000000" w:themeColor="text1"/>
                <w:kern w:val="0"/>
                <w:sz w:val="20"/>
                <w:szCs w:val="20"/>
              </w:rPr>
              <w:t>量</w:t>
            </w:r>
          </w:p>
        </w:tc>
        <w:tc>
          <w:tcPr>
            <w:tcW w:w="844"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单价</w:t>
            </w:r>
          </w:p>
        </w:tc>
        <w:tc>
          <w:tcPr>
            <w:tcW w:w="845" w:type="dxa"/>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widowControl/>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权限信息综合采集器</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该采集器至少要具备2-5项合计4种功能要求。</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基本参数：采用USB接口通信及供电，同时包含有指纹识别模块、刷卡模块、尺寸≥3.0寸彩色触摸屏，产品厚度≤30mm，具备中文语音提示功能；（签订合同前，需要提供与产品名称一致的检测报告，复印件盖厂家公章）</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2.系统重要安全设备，用于保障系统软件平台安全运行，核心操作权限验证外设，兼容采集用户指纹信息功能；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3.通过USB接在电脑或服务器上工作，具备无操作倒计时关闭屏幕背光的待机模式；</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4.权限采集安全功能：通过刷授权指纹，该设备触摸屏可显示登陆、锁定、解锁功能选项实现琴房管理软件系统的登陆、锁定、解锁功能；</w:t>
            </w:r>
            <w:r>
              <w:rPr>
                <w:rFonts w:ascii="宋体" w:hAnsi="宋体" w:eastAsia="宋体"/>
                <w:color w:val="000000" w:themeColor="text1"/>
                <w:sz w:val="20"/>
                <w:szCs w:val="20"/>
              </w:rPr>
              <w:t xml:space="preserve"> </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5.软件安全运行保护功能：拔掉该设备通过USB连接的系统电脑，琴房管理软件平台安全锁定保护；</w:t>
            </w:r>
          </w:p>
        </w:tc>
        <w:tc>
          <w:tcPr>
            <w:tcW w:w="436" w:type="dxa"/>
            <w:vAlign w:val="center"/>
          </w:tcPr>
          <w:p>
            <w:pPr>
              <w:widowControl/>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widowControl/>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widowControl/>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2</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琴房专用智慧管理机</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该管理机至少要具备2-9项合计8种功能要求。</w:t>
            </w:r>
          </w:p>
          <w:p>
            <w:pPr>
              <w:rPr>
                <w:rFonts w:ascii="宋体" w:hAnsi="宋体" w:eastAsia="宋体"/>
                <w:color w:val="000000" w:themeColor="text1"/>
                <w:sz w:val="20"/>
                <w:szCs w:val="20"/>
              </w:rPr>
            </w:pPr>
            <w:r>
              <w:rPr>
                <w:rFonts w:hint="eastAsia" w:ascii="宋体" w:hAnsi="宋体" w:eastAsia="宋体"/>
                <w:color w:val="000000" w:themeColor="text1"/>
                <w:sz w:val="20"/>
                <w:szCs w:val="20"/>
              </w:rPr>
              <w:t>1.核心参数：产品厚度≤35mm，通信方式为CAN总线通信，通信介质采用高性能屏蔽双绞线，具备关闭屏幕显示的节能模式，中文语音提醒，中文信息实时显示，门禁控制，授权控制于一体，液晶屏实时显示刷卡人员信息及提示、房间状态及预约信息等；显示屏规格：≥2.6寸触摸屏；语音喇叭:要求产品正面具有提示语音喇叭孔；</w:t>
            </w:r>
            <w:r>
              <w:rPr>
                <w:rFonts w:hint="eastAsia" w:ascii="宋体" w:hAnsi="宋体" w:eastAsia="宋体"/>
                <w:sz w:val="20"/>
                <w:szCs w:val="20"/>
              </w:rPr>
              <w:t>（</w:t>
            </w:r>
            <w:r>
              <w:rPr>
                <w:rFonts w:ascii="宋体" w:hAnsi="宋体" w:eastAsia="宋体"/>
                <w:sz w:val="20"/>
                <w:szCs w:val="20"/>
              </w:rPr>
              <w:t>签合同前</w:t>
            </w:r>
            <w:r>
              <w:rPr>
                <w:rFonts w:hint="eastAsia" w:ascii="宋体" w:hAnsi="宋体" w:eastAsia="宋体"/>
                <w:sz w:val="20"/>
                <w:szCs w:val="20"/>
              </w:rPr>
              <w:t>，提供厂商产品检测报告，复印件加盖厂家公章）</w:t>
            </w:r>
          </w:p>
          <w:p>
            <w:pPr>
              <w:rPr>
                <w:rFonts w:ascii="宋体" w:hAnsi="宋体" w:eastAsia="宋体"/>
                <w:color w:val="000000" w:themeColor="text1"/>
                <w:sz w:val="20"/>
                <w:szCs w:val="20"/>
              </w:rPr>
            </w:pPr>
            <w:r>
              <w:rPr>
                <w:rFonts w:hint="eastAsia" w:ascii="宋体" w:hAnsi="宋体" w:eastAsia="宋体"/>
                <w:color w:val="000000" w:themeColor="text1"/>
                <w:sz w:val="20"/>
                <w:szCs w:val="20"/>
              </w:rPr>
              <w:t>2.双重开门机制：具备信号及电源控制门锁开启功能；</w:t>
            </w:r>
          </w:p>
          <w:p>
            <w:pPr>
              <w:rPr>
                <w:rFonts w:ascii="宋体" w:hAnsi="宋体" w:eastAsia="宋体"/>
                <w:color w:val="000000" w:themeColor="text1"/>
                <w:sz w:val="20"/>
                <w:szCs w:val="20"/>
              </w:rPr>
            </w:pPr>
            <w:r>
              <w:rPr>
                <w:rFonts w:hint="eastAsia" w:ascii="宋体" w:hAnsi="宋体" w:eastAsia="宋体"/>
                <w:color w:val="000000" w:themeColor="text1"/>
                <w:sz w:val="20"/>
                <w:szCs w:val="20"/>
              </w:rPr>
              <w:t>3.开锁方式：具备校园一卡通开锁功能和手机微信开锁功能；</w:t>
            </w:r>
          </w:p>
          <w:p>
            <w:pPr>
              <w:rPr>
                <w:rFonts w:ascii="宋体" w:hAnsi="宋体" w:eastAsia="宋体"/>
                <w:sz w:val="20"/>
                <w:szCs w:val="20"/>
              </w:rPr>
            </w:pPr>
            <w:r>
              <w:rPr>
                <w:rFonts w:hint="eastAsia" w:ascii="宋体" w:hAnsi="宋体" w:eastAsia="宋体"/>
                <w:color w:val="000000" w:themeColor="text1"/>
                <w:sz w:val="20"/>
                <w:szCs w:val="20"/>
              </w:rPr>
              <w:t>4.</w:t>
            </w:r>
            <w:r>
              <w:rPr>
                <w:rFonts w:hint="eastAsia" w:ascii="宋体" w:hAnsi="宋体" w:eastAsia="宋体"/>
                <w:sz w:val="20"/>
                <w:szCs w:val="20"/>
              </w:rPr>
              <w:t>灵敏度及兼容性设置：智慧管理终端可设置刷校园卡灵敏度等级，至少包含三级设置（弱、正常、强）；兼容控制至少包含阴极锁和电磁锁两种门锁；（签合同前，提供厂家官网产品功能演示视频、网址佐证）</w:t>
            </w:r>
          </w:p>
          <w:p>
            <w:pPr>
              <w:rPr>
                <w:rFonts w:ascii="宋体" w:hAnsi="宋体" w:eastAsia="宋体"/>
                <w:color w:val="000000" w:themeColor="text1"/>
                <w:sz w:val="20"/>
                <w:szCs w:val="20"/>
              </w:rPr>
            </w:pPr>
            <w:r>
              <w:rPr>
                <w:rFonts w:hint="eastAsia" w:ascii="宋体" w:hAnsi="宋体" w:eastAsia="宋体"/>
                <w:color w:val="000000" w:themeColor="text1"/>
                <w:sz w:val="20"/>
                <w:szCs w:val="20"/>
              </w:rPr>
              <w:t>5.管理卡加密认证：管理卡（总卡，楼栋卡，楼层卡）具备卡片加密认证，防止管理卡被复制。</w:t>
            </w:r>
          </w:p>
          <w:p>
            <w:pPr>
              <w:rPr>
                <w:rFonts w:ascii="宋体" w:hAnsi="宋体" w:eastAsia="宋体"/>
                <w:color w:val="000000" w:themeColor="text1"/>
                <w:sz w:val="20"/>
                <w:szCs w:val="20"/>
              </w:rPr>
            </w:pPr>
            <w:r>
              <w:rPr>
                <w:rFonts w:hint="eastAsia" w:ascii="宋体" w:hAnsi="宋体" w:eastAsia="宋体"/>
                <w:color w:val="000000" w:themeColor="text1"/>
                <w:sz w:val="20"/>
                <w:szCs w:val="20"/>
              </w:rPr>
              <w:t>6.断网屏幕显示提醒：网络断网后显示提醒，并具备一级权限无限制开门功能；</w:t>
            </w:r>
          </w:p>
          <w:p>
            <w:pPr>
              <w:rPr>
                <w:rFonts w:ascii="宋体" w:hAnsi="宋体" w:eastAsia="宋体"/>
                <w:color w:val="000000" w:themeColor="text1"/>
                <w:sz w:val="20"/>
                <w:szCs w:val="20"/>
              </w:rPr>
            </w:pPr>
            <w:r>
              <w:rPr>
                <w:rFonts w:hint="eastAsia" w:ascii="宋体" w:hAnsi="宋体" w:eastAsia="宋体"/>
                <w:color w:val="000000" w:themeColor="text1"/>
                <w:sz w:val="20"/>
                <w:szCs w:val="20"/>
              </w:rPr>
              <w:t>7.夜间节能模式：终端在工作状态下关闭屏幕电源，处于低功耗工作状态，同时门锁上锁关闭，使用管理卡刷卡可激活开启屏幕电源；</w:t>
            </w:r>
            <w:r>
              <w:rPr>
                <w:rFonts w:ascii="宋体" w:hAnsi="宋体" w:eastAsia="宋体"/>
                <w:color w:val="000000" w:themeColor="text1"/>
                <w:sz w:val="20"/>
                <w:szCs w:val="20"/>
              </w:rPr>
              <w:t xml:space="preserve"> </w:t>
            </w:r>
          </w:p>
          <w:p>
            <w:pPr>
              <w:rPr>
                <w:rFonts w:ascii="宋体" w:hAnsi="宋体" w:eastAsia="宋体"/>
                <w:color w:val="000000" w:themeColor="text1"/>
                <w:sz w:val="20"/>
                <w:szCs w:val="20"/>
              </w:rPr>
            </w:pPr>
            <w:r>
              <w:rPr>
                <w:rFonts w:hint="eastAsia" w:ascii="宋体" w:hAnsi="宋体" w:eastAsia="宋体"/>
                <w:color w:val="000000" w:themeColor="text1"/>
                <w:sz w:val="20"/>
                <w:szCs w:val="20"/>
              </w:rPr>
              <w:t>8.通信安全：数据采用加密传输，使用高效的定制应用层协议，在提高通信效率的同时，保证其安全性，防止数据的截取和篡改。</w:t>
            </w:r>
          </w:p>
          <w:p>
            <w:pPr>
              <w:rPr>
                <w:rFonts w:ascii="宋体" w:hAnsi="宋体" w:eastAsia="宋体"/>
                <w:color w:val="000000" w:themeColor="text1"/>
                <w:sz w:val="20"/>
                <w:szCs w:val="20"/>
              </w:rPr>
            </w:pPr>
            <w:r>
              <w:rPr>
                <w:rFonts w:hint="eastAsia" w:ascii="宋体" w:hAnsi="宋体" w:eastAsia="宋体"/>
                <w:color w:val="000000" w:themeColor="text1"/>
                <w:sz w:val="20"/>
                <w:szCs w:val="20"/>
              </w:rPr>
              <w:t>9.具备中途外出及中途签退触摸互动功能，退琴房门监督关闭功能，房门非法开启报警功能；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10.在签订合同前，要求提供该设备CAN总线布线实施拓扑图，盖厂家公章；</w:t>
            </w:r>
            <w:r>
              <w:rPr>
                <w:rFonts w:ascii="宋体" w:hAnsi="宋体" w:eastAsia="宋体"/>
                <w:color w:val="000000" w:themeColor="text1"/>
                <w:sz w:val="20"/>
                <w:szCs w:val="20"/>
              </w:rPr>
              <w:t>提供</w:t>
            </w:r>
            <w:r>
              <w:rPr>
                <w:rFonts w:hint="eastAsia" w:ascii="宋体" w:hAnsi="宋体" w:eastAsia="宋体"/>
                <w:color w:val="000000" w:themeColor="text1"/>
                <w:sz w:val="20"/>
                <w:szCs w:val="20"/>
              </w:rPr>
              <w:t>厂家针对该项目授权书原件，售后服务承诺书原件。</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108</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3</w:t>
            </w:r>
          </w:p>
        </w:tc>
        <w:tc>
          <w:tcPr>
            <w:tcW w:w="1484" w:type="dxa"/>
            <w:vAlign w:val="center"/>
          </w:tcPr>
          <w:p>
            <w:pPr>
              <w:rPr>
                <w:rFonts w:ascii="宋体" w:hAnsi="宋体" w:eastAsia="宋体"/>
                <w:color w:val="000000" w:themeColor="text1"/>
                <w:sz w:val="20"/>
                <w:szCs w:val="20"/>
              </w:rPr>
            </w:pPr>
            <w:r>
              <w:rPr>
                <w:rFonts w:hint="eastAsia" w:ascii="宋体" w:hAnsi="宋体" w:eastAsia="宋体"/>
                <w:color w:val="000000" w:themeColor="text1"/>
                <w:sz w:val="20"/>
                <w:szCs w:val="20"/>
              </w:rPr>
              <w:t>琴房管理机电源</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同品牌、与管理机相匹配。</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个</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108</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4</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琴房电锁</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1.最大工作电流：DC12V/1000MA,正常工作低于500MA；</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2.抗拉力：≥230KG；</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3.工作模式：通过琴房智慧管理机发送指令控制；</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4.锁体材质：铝合金；</w:t>
            </w:r>
          </w:p>
          <w:p>
            <w:pPr>
              <w:rPr>
                <w:rFonts w:ascii="宋体" w:hAnsi="宋体" w:eastAsia="宋体"/>
                <w:color w:val="000000" w:themeColor="text1"/>
                <w:sz w:val="20"/>
                <w:szCs w:val="20"/>
              </w:rPr>
            </w:pPr>
            <w:r>
              <w:rPr>
                <w:rFonts w:hint="eastAsia" w:ascii="宋体" w:hAnsi="宋体" w:eastAsia="宋体"/>
                <w:color w:val="000000" w:themeColor="text1"/>
                <w:sz w:val="20"/>
                <w:szCs w:val="20"/>
              </w:rPr>
              <w:t>5.信号功能：具有门状态信号反馈；</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把</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108</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5</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琴房闭门器</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材质: 铸铝</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颜色分类:颜色不限，根据安装实际要求而定</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产品类型：液压闭门器</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 xml:space="preserve">适合门重：25-65公斤 </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关门速度：在180度到15度范围可调</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调节区间: 2段闭门器</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注：因琴房门合页问题导致琴房门无法正常关闭，中标方应免费维修至其能正常使用。</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把</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108</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ascii="宋体" w:hAnsi="宋体" w:eastAsia="宋体"/>
                <w:color w:val="000000" w:themeColor="text1"/>
                <w:sz w:val="20"/>
                <w:szCs w:val="20"/>
              </w:rPr>
              <w:t>6</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应急安全场景多功能智慧终端</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该终端至少要具备5-10项合计6个功能要求。</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1.基本要求：壁挂安装，厚度≤26mm（提供产品实物测量照片），同时具备常规触摸开门按钮、应急机械开门按钮、触摸报警功能按钮、触摸报修功能按钮、触摸开灯功能按钮、正面语音提示喇叭孔；</w:t>
            </w:r>
          </w:p>
          <w:p>
            <w:pPr>
              <w:jc w:val="left"/>
              <w:rPr>
                <w:rFonts w:ascii="宋体" w:hAnsi="宋体" w:eastAsia="宋体"/>
                <w:sz w:val="20"/>
                <w:szCs w:val="20"/>
              </w:rPr>
            </w:pPr>
            <w:r>
              <w:rPr>
                <w:rFonts w:hint="eastAsia" w:ascii="宋体" w:hAnsi="宋体" w:eastAsia="宋体"/>
                <w:sz w:val="20"/>
                <w:szCs w:val="20"/>
              </w:rPr>
              <w:t>2.额定阻抗：8Ω；</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3.频率响应：300Hz---15KHz；</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4.灵敏度：60dB±3dB；</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5.智能练琴语音提醒功能：根据用户预约练琴时间自动提醒用户练琴时间及相关注意事项；</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6.具备双重开门保障机制，在任何极端情况下（断网、死机、外部设备暴力损坏）按动该按钮，门锁打开；</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7.报警报修防误按中文语音提醒功能：当误按到报警保修按钮时，设备会语音提示二次按下按钮操作才确认报警、报修提交成功，不二次按下自动取消该操作；</w:t>
            </w:r>
          </w:p>
          <w:p>
            <w:pPr>
              <w:jc w:val="left"/>
              <w:rPr>
                <w:rFonts w:ascii="宋体" w:hAnsi="宋体" w:eastAsia="宋体"/>
                <w:sz w:val="20"/>
                <w:szCs w:val="20"/>
              </w:rPr>
            </w:pPr>
            <w:r>
              <w:rPr>
                <w:rFonts w:hint="eastAsia" w:ascii="宋体" w:hAnsi="宋体" w:eastAsia="宋体"/>
                <w:sz w:val="20"/>
                <w:szCs w:val="20"/>
              </w:rPr>
              <w:t>8.有线控电：具备有线控电功能；</w:t>
            </w:r>
            <w:r>
              <w:rPr>
                <w:rFonts w:ascii="宋体" w:hAnsi="宋体" w:eastAsia="宋体"/>
                <w:sz w:val="20"/>
                <w:szCs w:val="20"/>
              </w:rPr>
              <w:t xml:space="preserve"> </w:t>
            </w:r>
          </w:p>
          <w:p>
            <w:pPr>
              <w:jc w:val="left"/>
              <w:rPr>
                <w:rFonts w:ascii="宋体" w:hAnsi="宋体" w:eastAsia="宋体"/>
                <w:sz w:val="20"/>
                <w:szCs w:val="20"/>
              </w:rPr>
            </w:pPr>
            <w:r>
              <w:rPr>
                <w:rFonts w:hint="eastAsia" w:ascii="宋体" w:hAnsi="宋体" w:eastAsia="宋体"/>
                <w:sz w:val="20"/>
                <w:szCs w:val="20"/>
              </w:rPr>
              <w:t>9.无线控电：可无线控制电控消防联动控器控制房间其它设备电源；</w:t>
            </w:r>
          </w:p>
          <w:p>
            <w:pPr>
              <w:jc w:val="left"/>
              <w:rPr>
                <w:rFonts w:ascii="宋体" w:hAnsi="宋体" w:eastAsia="宋体"/>
                <w:sz w:val="20"/>
                <w:szCs w:val="20"/>
              </w:rPr>
            </w:pPr>
            <w:r>
              <w:rPr>
                <w:rFonts w:hint="eastAsia" w:ascii="宋体" w:hAnsi="宋体" w:eastAsia="宋体"/>
                <w:sz w:val="20"/>
                <w:szCs w:val="20"/>
              </w:rPr>
              <w:t>10.具有嵌入式场景控制管理功能，包括控灯、报警、报修功能；</w:t>
            </w:r>
          </w:p>
          <w:p>
            <w:pPr>
              <w:jc w:val="left"/>
              <w:rPr>
                <w:rFonts w:ascii="宋体" w:hAnsi="宋体" w:eastAsia="宋体"/>
                <w:color w:val="000000" w:themeColor="text1"/>
                <w:sz w:val="20"/>
                <w:szCs w:val="20"/>
              </w:rPr>
            </w:pPr>
            <w:r>
              <w:rPr>
                <w:rFonts w:ascii="宋体" w:hAnsi="宋体" w:eastAsia="宋体"/>
                <w:color w:val="000000" w:themeColor="text1"/>
                <w:sz w:val="20"/>
                <w:szCs w:val="20"/>
              </w:rPr>
              <w:t>1</w:t>
            </w:r>
            <w:r>
              <w:rPr>
                <w:rFonts w:hint="eastAsia" w:ascii="宋体" w:hAnsi="宋体" w:eastAsia="宋体"/>
                <w:color w:val="000000" w:themeColor="text1"/>
                <w:sz w:val="20"/>
                <w:szCs w:val="20"/>
              </w:rPr>
              <w:t>1</w:t>
            </w:r>
            <w:r>
              <w:rPr>
                <w:rFonts w:ascii="宋体" w:hAnsi="宋体" w:eastAsia="宋体"/>
                <w:color w:val="000000" w:themeColor="text1"/>
                <w:sz w:val="20"/>
                <w:szCs w:val="20"/>
              </w:rPr>
              <w:t>.</w:t>
            </w:r>
            <w:r>
              <w:rPr>
                <w:rFonts w:hint="eastAsia" w:ascii="宋体" w:hAnsi="宋体" w:eastAsia="宋体"/>
                <w:color w:val="000000" w:themeColor="text1"/>
                <w:sz w:val="20"/>
                <w:szCs w:val="20"/>
              </w:rPr>
              <w:t xml:space="preserve"> 在签合同前，</w:t>
            </w:r>
            <w:r>
              <w:rPr>
                <w:rFonts w:ascii="宋体" w:hAnsi="宋体" w:eastAsia="宋体"/>
                <w:color w:val="000000" w:themeColor="text1"/>
                <w:sz w:val="20"/>
                <w:szCs w:val="20"/>
              </w:rPr>
              <w:t>提供</w:t>
            </w:r>
            <w:r>
              <w:rPr>
                <w:rFonts w:hint="eastAsia" w:ascii="宋体" w:hAnsi="宋体" w:eastAsia="宋体"/>
                <w:color w:val="000000" w:themeColor="text1"/>
                <w:sz w:val="20"/>
                <w:szCs w:val="20"/>
              </w:rPr>
              <w:t>厂家针对该项目授权书原件，售后服务承诺书原件。</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106</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7</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出门按钮</w:t>
            </w:r>
          </w:p>
        </w:tc>
        <w:tc>
          <w:tcPr>
            <w:tcW w:w="9079" w:type="dxa"/>
          </w:tcPr>
          <w:p>
            <w:pPr>
              <w:jc w:val="left"/>
              <w:rPr>
                <w:rFonts w:ascii="宋体" w:hAnsi="宋体" w:eastAsia="宋体"/>
                <w:sz w:val="20"/>
                <w:szCs w:val="20"/>
              </w:rPr>
            </w:pPr>
            <w:r>
              <w:rPr>
                <w:rFonts w:hint="eastAsia" w:ascii="宋体" w:hAnsi="宋体" w:eastAsia="宋体"/>
                <w:sz w:val="20"/>
                <w:szCs w:val="20"/>
              </w:rPr>
              <w:t>自复位式86型，PC阻燃</w:t>
            </w:r>
            <w:r>
              <w:rPr>
                <w:rFonts w:ascii="宋体" w:hAnsi="宋体" w:eastAsia="宋体"/>
                <w:sz w:val="20"/>
                <w:szCs w:val="20"/>
              </w:rPr>
              <w:t>材料和银合金触点</w:t>
            </w:r>
            <w:r>
              <w:rPr>
                <w:rFonts w:hint="eastAsia" w:ascii="宋体" w:hAnsi="宋体" w:eastAsia="宋体"/>
                <w:sz w:val="20"/>
                <w:szCs w:val="20"/>
              </w:rPr>
              <w:t>，86MM*86MM</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个</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107</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8</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以太网转CAN模块</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1.具备至少两路总线通信端口，1路RJ45接口；</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2.接口形式：OPEN4接口；</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3.数据接收能力：≥12000帧/秒；</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4.数据发送能力：≥8000帧/秒；</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5.工作模式：具有TCP Server、TCP Client、UDP等；</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6.TCP最大连接数：≥254（每路）；</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7.UDP最大连接数：≥6×254（每路）；</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8.CAN口通信波特率：5K~1Mbps；</w:t>
            </w:r>
            <w:r>
              <w:rPr>
                <w:rFonts w:hint="eastAsia" w:ascii="宋体" w:hAnsi="宋体" w:eastAsia="宋体"/>
                <w:color w:val="000000" w:themeColor="text1"/>
                <w:sz w:val="20"/>
                <w:szCs w:val="20"/>
              </w:rPr>
              <w:cr/>
            </w:r>
            <w:r>
              <w:rPr>
                <w:rFonts w:hint="eastAsia" w:ascii="宋体" w:hAnsi="宋体" w:eastAsia="宋体"/>
                <w:color w:val="000000" w:themeColor="text1"/>
                <w:sz w:val="20"/>
                <w:szCs w:val="20"/>
              </w:rPr>
              <w:t>功耗：≤3000mW；</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2</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9</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交换机</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 xml:space="preserve">端口数：8口个10/100/1000BASE-T以太网端口 </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10</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电脑</w:t>
            </w:r>
          </w:p>
        </w:tc>
        <w:tc>
          <w:tcPr>
            <w:tcW w:w="9079" w:type="dxa"/>
          </w:tcPr>
          <w:p>
            <w:pPr>
              <w:numPr>
                <w:ilvl w:val="0"/>
                <w:numId w:val="1"/>
              </w:numPr>
              <w:jc w:val="left"/>
              <w:rPr>
                <w:rFonts w:ascii="宋体" w:hAnsi="宋体" w:eastAsia="宋体"/>
                <w:color w:val="000000" w:themeColor="text1"/>
                <w:sz w:val="20"/>
                <w:szCs w:val="20"/>
              </w:rPr>
            </w:pPr>
            <w:r>
              <w:rPr>
                <w:rFonts w:hint="eastAsia" w:ascii="宋体" w:hAnsi="宋体" w:eastAsia="宋体"/>
                <w:color w:val="000000" w:themeColor="text1"/>
                <w:sz w:val="20"/>
                <w:szCs w:val="20"/>
              </w:rPr>
              <w:t xml:space="preserve">处理器：Intel第11代六核处理器I5-11400及以上 ；2、芯片组：Intel500系列商用主板，单路供电；3、内存：≥8G DDR4 2400 MHz，不少于2个DIMM插槽，最大支持32G；4、硬盘：≥1T机械，支持1个SSD + 1个HDD和128G固态硬盘；5、显卡：2G独立显卡；6、网卡：集成10/100/1000M自适应网卡；7、键盘/鼠标：同一品牌USB抗菌防水键盘；同一品牌USB抗菌光电鼠标；8、机箱、电源：机箱不大于15L，不小于180W电源；9、显示器：同品牌≥21.5寸显示器； </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11</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琴房信息公示屏</w:t>
            </w:r>
          </w:p>
        </w:tc>
        <w:tc>
          <w:tcPr>
            <w:tcW w:w="9079" w:type="dxa"/>
            <w:vAlign w:val="center"/>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4K高清液晶电视；屏幕</w:t>
            </w:r>
            <w:r>
              <w:rPr>
                <w:rFonts w:ascii="宋体" w:hAnsi="宋体" w:eastAsia="宋体"/>
                <w:color w:val="000000" w:themeColor="text1"/>
                <w:sz w:val="20"/>
                <w:szCs w:val="20"/>
              </w:rPr>
              <w:t>尺寸：</w:t>
            </w:r>
            <w:r>
              <w:rPr>
                <w:rFonts w:hint="eastAsia" w:ascii="宋体" w:hAnsi="宋体" w:eastAsia="宋体"/>
                <w:color w:val="000000" w:themeColor="text1"/>
                <w:sz w:val="20"/>
                <w:szCs w:val="20"/>
              </w:rPr>
              <w:t>不小于</w:t>
            </w:r>
            <w:r>
              <w:rPr>
                <w:rFonts w:ascii="宋体" w:hAnsi="宋体" w:eastAsia="宋体"/>
                <w:color w:val="000000" w:themeColor="text1"/>
                <w:sz w:val="20"/>
                <w:szCs w:val="20"/>
              </w:rPr>
              <w:t>65</w:t>
            </w:r>
            <w:r>
              <w:rPr>
                <w:rFonts w:hint="eastAsia" w:ascii="宋体" w:hAnsi="宋体" w:eastAsia="宋体"/>
                <w:color w:val="000000" w:themeColor="text1"/>
                <w:sz w:val="20"/>
                <w:szCs w:val="20"/>
              </w:rPr>
              <w:t>寸；物理分辨率</w:t>
            </w:r>
            <w:r>
              <w:rPr>
                <w:rFonts w:ascii="宋体" w:hAnsi="宋体" w:eastAsia="宋体"/>
                <w:color w:val="000000" w:themeColor="text1"/>
                <w:sz w:val="20"/>
                <w:szCs w:val="20"/>
              </w:rPr>
              <w:t>：</w:t>
            </w:r>
            <w:r>
              <w:rPr>
                <w:rFonts w:hint="eastAsia" w:ascii="宋体" w:hAnsi="宋体" w:eastAsia="宋体"/>
                <w:color w:val="000000" w:themeColor="text1"/>
                <w:sz w:val="20"/>
                <w:szCs w:val="20"/>
              </w:rPr>
              <w:t>不小于UHD</w:t>
            </w:r>
            <w:r>
              <w:rPr>
                <w:rFonts w:ascii="宋体" w:hAnsi="宋体" w:eastAsia="宋体"/>
                <w:color w:val="000000" w:themeColor="text1"/>
                <w:sz w:val="20"/>
                <w:szCs w:val="20"/>
              </w:rPr>
              <w:t xml:space="preserve"> </w:t>
            </w:r>
            <w:r>
              <w:rPr>
                <w:rFonts w:hint="eastAsia" w:ascii="宋体" w:hAnsi="宋体" w:eastAsia="宋体"/>
                <w:color w:val="000000" w:themeColor="text1"/>
                <w:sz w:val="20"/>
                <w:szCs w:val="20"/>
              </w:rPr>
              <w:t>3840</w:t>
            </w:r>
            <w:r>
              <w:rPr>
                <w:rFonts w:ascii="宋体" w:hAnsi="宋体" w:eastAsia="宋体"/>
                <w:color w:val="000000" w:themeColor="text1"/>
                <w:sz w:val="20"/>
                <w:szCs w:val="20"/>
              </w:rPr>
              <w:t>*2160</w:t>
            </w:r>
            <w:r>
              <w:rPr>
                <w:rFonts w:hint="eastAsia" w:ascii="宋体" w:hAnsi="宋体" w:eastAsia="宋体"/>
                <w:color w:val="000000" w:themeColor="text1"/>
                <w:sz w:val="20"/>
                <w:szCs w:val="20"/>
              </w:rPr>
              <w:t>；GPU：不小于5核</w:t>
            </w:r>
            <w:r>
              <w:rPr>
                <w:rFonts w:ascii="宋体" w:hAnsi="宋体" w:eastAsia="宋体"/>
                <w:color w:val="000000" w:themeColor="text1"/>
                <w:sz w:val="20"/>
                <w:szCs w:val="20"/>
              </w:rPr>
              <w:t>；</w:t>
            </w:r>
            <w:r>
              <w:rPr>
                <w:rFonts w:hint="eastAsia" w:ascii="宋体" w:hAnsi="宋体" w:eastAsia="宋体"/>
                <w:color w:val="000000" w:themeColor="text1"/>
                <w:sz w:val="20"/>
                <w:szCs w:val="20"/>
              </w:rPr>
              <w:t>屏幕</w:t>
            </w:r>
            <w:r>
              <w:rPr>
                <w:rFonts w:ascii="宋体" w:hAnsi="宋体" w:eastAsia="宋体"/>
                <w:color w:val="000000" w:themeColor="text1"/>
                <w:sz w:val="20"/>
                <w:szCs w:val="20"/>
              </w:rPr>
              <w:t>比例：</w:t>
            </w:r>
            <w:r>
              <w:rPr>
                <w:rFonts w:hint="eastAsia" w:ascii="宋体" w:hAnsi="宋体" w:eastAsia="宋体"/>
                <w:color w:val="000000" w:themeColor="text1"/>
                <w:sz w:val="20"/>
                <w:szCs w:val="20"/>
              </w:rPr>
              <w:t>16:9；</w:t>
            </w:r>
            <w:r>
              <w:rPr>
                <w:rFonts w:ascii="宋体" w:hAnsi="宋体" w:eastAsia="宋体"/>
                <w:color w:val="000000" w:themeColor="text1"/>
                <w:sz w:val="20"/>
                <w:szCs w:val="20"/>
              </w:rPr>
              <w:t>存储空间：</w:t>
            </w:r>
            <w:r>
              <w:rPr>
                <w:rFonts w:hint="eastAsia" w:ascii="宋体" w:hAnsi="宋体" w:eastAsia="宋体"/>
                <w:color w:val="000000" w:themeColor="text1"/>
                <w:sz w:val="20"/>
                <w:szCs w:val="20"/>
              </w:rPr>
              <w:t>不小于8GB；HDMI接口</w:t>
            </w:r>
            <w:r>
              <w:rPr>
                <w:rFonts w:ascii="宋体" w:hAnsi="宋体" w:eastAsia="宋体"/>
                <w:color w:val="000000" w:themeColor="text1"/>
                <w:sz w:val="20"/>
                <w:szCs w:val="20"/>
              </w:rPr>
              <w:t>：</w:t>
            </w:r>
            <w:r>
              <w:rPr>
                <w:rFonts w:hint="eastAsia" w:ascii="宋体" w:hAnsi="宋体" w:eastAsia="宋体"/>
                <w:color w:val="000000" w:themeColor="text1"/>
                <w:sz w:val="20"/>
                <w:szCs w:val="20"/>
              </w:rPr>
              <w:t>不少于HDMI2.0*3；</w:t>
            </w:r>
            <w:r>
              <w:rPr>
                <w:rFonts w:ascii="宋体" w:hAnsi="宋体" w:eastAsia="宋体"/>
                <w:color w:val="000000" w:themeColor="text1"/>
                <w:sz w:val="20"/>
                <w:szCs w:val="20"/>
              </w:rPr>
              <w:t>无线网络：无线</w:t>
            </w:r>
            <w:r>
              <w:rPr>
                <w:rFonts w:hint="eastAsia" w:ascii="宋体" w:hAnsi="宋体" w:eastAsia="宋体"/>
                <w:color w:val="000000" w:themeColor="text1"/>
                <w:sz w:val="20"/>
                <w:szCs w:val="20"/>
              </w:rPr>
              <w:t>WIFI；CPU：不少于2核</w:t>
            </w:r>
            <w:r>
              <w:rPr>
                <w:rFonts w:ascii="宋体" w:hAnsi="宋体" w:eastAsia="宋体"/>
                <w:color w:val="000000" w:themeColor="text1"/>
                <w:sz w:val="20"/>
                <w:szCs w:val="20"/>
              </w:rPr>
              <w:t>；</w:t>
            </w:r>
            <w:r>
              <w:rPr>
                <w:rFonts w:hint="eastAsia" w:ascii="宋体" w:hAnsi="宋体" w:eastAsia="宋体"/>
                <w:color w:val="000000" w:themeColor="text1"/>
                <w:sz w:val="20"/>
                <w:szCs w:val="20"/>
              </w:rPr>
              <w:t>USB接口</w:t>
            </w:r>
            <w:r>
              <w:rPr>
                <w:rFonts w:ascii="宋体" w:hAnsi="宋体" w:eastAsia="宋体"/>
                <w:color w:val="000000" w:themeColor="text1"/>
                <w:sz w:val="20"/>
                <w:szCs w:val="20"/>
              </w:rPr>
              <w:t>：</w:t>
            </w:r>
            <w:r>
              <w:rPr>
                <w:rFonts w:hint="eastAsia" w:ascii="宋体" w:hAnsi="宋体" w:eastAsia="宋体"/>
                <w:color w:val="000000" w:themeColor="text1"/>
                <w:sz w:val="20"/>
                <w:szCs w:val="20"/>
              </w:rPr>
              <w:t>不少于2.0</w:t>
            </w:r>
            <w:r>
              <w:rPr>
                <w:rFonts w:ascii="宋体" w:hAnsi="宋体" w:eastAsia="宋体"/>
                <w:color w:val="000000" w:themeColor="text1"/>
                <w:sz w:val="20"/>
                <w:szCs w:val="20"/>
              </w:rPr>
              <w:t>*2</w:t>
            </w:r>
            <w:r>
              <w:rPr>
                <w:rFonts w:hint="eastAsia" w:ascii="宋体" w:hAnsi="宋体" w:eastAsia="宋体"/>
                <w:color w:val="000000" w:themeColor="text1"/>
                <w:sz w:val="20"/>
                <w:szCs w:val="20"/>
              </w:rPr>
              <w:t>；</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功能：与琴房系统数据同步实时显示琴房使用相应情况，如可用琴房数量，滚动显示可用琴房号码，实时显示当然刷卡用户信息，包括姓名、使用的琴房、卡内剩余琴时等，动态显示琴房管理或学校相应的通知公告；能图形化显示琴房总体使用情况包含琴房使用率饼状图，当天练琴人数曲线图，练琴时长柱状图；</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台</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12</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安全门</w:t>
            </w:r>
          </w:p>
        </w:tc>
        <w:tc>
          <w:tcPr>
            <w:tcW w:w="9079" w:type="dxa"/>
            <w:vAlign w:val="center"/>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不锈钢不低于202材质，两边楼道口，尺寸：≥3.5米</w:t>
            </w:r>
            <w:r>
              <w:rPr>
                <w:rFonts w:ascii="宋体" w:hAnsi="宋体" w:eastAsia="宋体"/>
                <w:color w:val="000000" w:themeColor="text1"/>
                <w:sz w:val="20"/>
                <w:szCs w:val="20"/>
              </w:rPr>
              <w:t>*</w:t>
            </w:r>
            <w:r>
              <w:rPr>
                <w:rFonts w:hint="eastAsia" w:ascii="宋体" w:hAnsi="宋体" w:eastAsia="宋体"/>
                <w:color w:val="000000" w:themeColor="text1"/>
                <w:sz w:val="20"/>
                <w:szCs w:val="20"/>
              </w:rPr>
              <w:t>2.4米，最终尺寸根据实际需要现场量定。</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扇</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2</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jc w:val="center"/>
              <w:rPr>
                <w:rFonts w:ascii="宋体" w:hAnsi="宋体" w:eastAsia="宋体"/>
                <w:color w:val="000000" w:themeColor="text1"/>
                <w:sz w:val="20"/>
                <w:szCs w:val="20"/>
              </w:rPr>
            </w:pPr>
            <w:r>
              <w:rPr>
                <w:rFonts w:ascii="宋体" w:hAnsi="宋体" w:eastAsia="宋体"/>
                <w:color w:val="000000" w:themeColor="text1"/>
                <w:sz w:val="20"/>
                <w:szCs w:val="20"/>
              </w:rPr>
              <w:t>1</w:t>
            </w:r>
            <w:r>
              <w:rPr>
                <w:rFonts w:hint="eastAsia" w:ascii="宋体" w:hAnsi="宋体" w:eastAsia="宋体"/>
                <w:color w:val="000000" w:themeColor="text1"/>
                <w:sz w:val="20"/>
                <w:szCs w:val="20"/>
              </w:rPr>
              <w:t>3</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智能琴房管理系统</w:t>
            </w:r>
          </w:p>
        </w:tc>
        <w:tc>
          <w:tcPr>
            <w:tcW w:w="9079" w:type="dxa"/>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该系统至少要具备1-15项合计15个功能模块，以及16、17项合计2个子系统的要求。</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1、系统自动智慧控制功能模块：系统实现智能化无人值守管理功能，用户自主预约，用户权限自动智能判断，用户智能识别，自动计时等功能；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2、系统自动智慧语音提醒功能模块：系统使用操作全程具备人性化中文语音提醒功能；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3、系统自动智慧显示提示模块：系统智慧终端具备中文信息互动显示提醒功能；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4、系统琴房门开闭检测控制管理模块：系统具备房门关闭检测功能，未关闭琴房门不可下琴；</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5、远程控制模块：具备远程控制琴房智慧管理终端功能；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6、基础数据设置模块：具备基础数据设置、添加、修改、查询功能；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7、琴房非法闯入智能报警模块：系统具备非法闯入报警、反潜入报警功能；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8、琴房数据管理软件模块：系统能实时查看琴房使用情况包括每间琴房谁在使用，什么时间登记进入，那些琴房空闲；具有详细用琴记录统计，数据查询，批量数据操作，数据统计分析等功能；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9、重要操作权限验证功能：重要操作如删除用户或系统记录信息需验证管理员指纹（通过外接权限信息综合采集器验证指纹），保障系统数据不被恶意操作，同时生成重要操作人员记录；（在签合同前，提供软件删除用户信息验证管理员指纹界面截图）</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10、琴卡及琴时管理模块：具备用户琴卡设置、管理、挂失、解挂功能，保证对接校园一卡通卡片使用；具备琴时管理功能；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11、数据安全及权限管理模块：具备数据备份，多级权限管理安全功能；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12、系统安全运行保障功能：当保护系统安全运行的外接硬件设备权限信息综合采集器被恶意拔出时，琴房软件锁屏保护；（提供权限信息综合采集器被恶意拔出时琴房软件锁屏保护的界面截图）</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13、中途外出控制管理模块：具备中途外出互动人性化选择操作功能；</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14、数据统计显示功能模块：系统各显示终端可统计显示当前使用数据信息，通知公告信息等；</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15、系统拓展及对接功能模块：系统与校园一卡通系统无缝对接，后期可根据用户需求进行软硬件二次开发、升级；</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16、场地智慧信息化管理子系统：具有以下几种场地场景信息管理功能：①开放模式：琴房正常开放使用；②关闭模式：琴房禁止使用及预约，关闭刷卡及指纹模块申请，终端显示禁止使用；③夜间节能模式：琴房智慧终端屏幕电源关闭，琴房内电源关闭，声光设备电源关闭；④应急模式：琴房门应急常开状态；⑤维护模式：琴房钢琴维护或打扫卫生时启用，终端显示：维护中；</w:t>
            </w:r>
            <w:r>
              <w:rPr>
                <w:rFonts w:hint="eastAsia" w:ascii="宋体" w:hAnsi="宋体" w:eastAsia="宋体"/>
                <w:sz w:val="20"/>
                <w:szCs w:val="20"/>
              </w:rPr>
              <w:t>（</w:t>
            </w:r>
            <w:r>
              <w:rPr>
                <w:rFonts w:ascii="宋体" w:hAnsi="宋体" w:eastAsia="宋体"/>
                <w:sz w:val="20"/>
                <w:szCs w:val="20"/>
              </w:rPr>
              <w:t>签合同前</w:t>
            </w:r>
            <w:r>
              <w:rPr>
                <w:rFonts w:hint="eastAsia" w:ascii="宋体" w:hAnsi="宋体" w:eastAsia="宋体"/>
                <w:sz w:val="20"/>
                <w:szCs w:val="20"/>
              </w:rPr>
              <w:t>，提供</w:t>
            </w:r>
            <w:r>
              <w:rPr>
                <w:rFonts w:ascii="宋体" w:hAnsi="宋体" w:eastAsia="宋体"/>
                <w:sz w:val="20"/>
                <w:szCs w:val="20"/>
              </w:rPr>
              <w:t>软件著作权证书</w:t>
            </w:r>
            <w:r>
              <w:rPr>
                <w:rFonts w:hint="eastAsia" w:ascii="宋体" w:hAnsi="宋体" w:eastAsia="宋体"/>
                <w:sz w:val="20"/>
                <w:szCs w:val="20"/>
              </w:rPr>
              <w:t>复印件盖厂家公章）</w:t>
            </w:r>
          </w:p>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17、智能琴房手机微信客户端管理子系统：①可通过手机微信公众号端直接查询琴房当前使用信息，查询各种琴房历史数据，预约琴房，远程开门，报修，查看通知公告；②当保护系统安全运行的外接硬件设备权限信息综合采集器被恶意拔出时，琴房软件手机微信端收到设备拔出警示信息；</w:t>
            </w:r>
            <w:r>
              <w:rPr>
                <w:rFonts w:hint="eastAsia" w:ascii="宋体" w:hAnsi="宋体" w:eastAsia="宋体"/>
                <w:sz w:val="20"/>
                <w:szCs w:val="20"/>
              </w:rPr>
              <w:t>（</w:t>
            </w:r>
            <w:r>
              <w:rPr>
                <w:rFonts w:ascii="宋体" w:hAnsi="宋体" w:eastAsia="宋体"/>
                <w:sz w:val="20"/>
                <w:szCs w:val="20"/>
              </w:rPr>
              <w:t>签合同前</w:t>
            </w:r>
            <w:r>
              <w:rPr>
                <w:rFonts w:hint="eastAsia" w:ascii="宋体" w:hAnsi="宋体" w:eastAsia="宋体"/>
                <w:sz w:val="20"/>
                <w:szCs w:val="20"/>
              </w:rPr>
              <w:t>，提供</w:t>
            </w:r>
            <w:r>
              <w:rPr>
                <w:rFonts w:ascii="宋体" w:hAnsi="宋体" w:eastAsia="宋体"/>
                <w:sz w:val="20"/>
                <w:szCs w:val="20"/>
              </w:rPr>
              <w:t>软件著作权证书</w:t>
            </w:r>
            <w:r>
              <w:rPr>
                <w:rFonts w:hint="eastAsia" w:ascii="宋体" w:hAnsi="宋体" w:eastAsia="宋体"/>
                <w:sz w:val="20"/>
                <w:szCs w:val="20"/>
              </w:rPr>
              <w:t>复印件盖厂家公章）</w:t>
            </w:r>
          </w:p>
          <w:p>
            <w:pPr>
              <w:jc w:val="left"/>
              <w:rPr>
                <w:rFonts w:ascii="宋体" w:hAnsi="宋体" w:eastAsia="宋体"/>
                <w:color w:val="000000" w:themeColor="text1"/>
                <w:sz w:val="20"/>
                <w:szCs w:val="20"/>
              </w:rPr>
            </w:pPr>
            <w:r>
              <w:rPr>
                <w:rFonts w:ascii="宋体" w:hAnsi="宋体" w:eastAsia="宋体"/>
                <w:color w:val="000000" w:themeColor="text1"/>
                <w:sz w:val="20"/>
                <w:szCs w:val="20"/>
              </w:rPr>
              <w:t>1</w:t>
            </w:r>
            <w:r>
              <w:rPr>
                <w:rFonts w:hint="eastAsia" w:ascii="宋体" w:hAnsi="宋体" w:eastAsia="宋体"/>
                <w:color w:val="000000" w:themeColor="text1"/>
                <w:sz w:val="20"/>
                <w:szCs w:val="20"/>
              </w:rPr>
              <w:t>8</w:t>
            </w:r>
            <w:r>
              <w:rPr>
                <w:rFonts w:ascii="宋体" w:hAnsi="宋体" w:eastAsia="宋体"/>
                <w:color w:val="000000" w:themeColor="text1"/>
                <w:sz w:val="20"/>
                <w:szCs w:val="20"/>
              </w:rPr>
              <w:t>.</w:t>
            </w:r>
            <w:r>
              <w:rPr>
                <w:rFonts w:hint="eastAsia" w:ascii="宋体" w:hAnsi="宋体" w:eastAsia="宋体"/>
                <w:color w:val="000000" w:themeColor="text1"/>
                <w:sz w:val="20"/>
                <w:szCs w:val="20"/>
              </w:rPr>
              <w:t xml:space="preserve"> 在签合同前，</w:t>
            </w:r>
            <w:r>
              <w:rPr>
                <w:rFonts w:ascii="宋体" w:hAnsi="宋体" w:eastAsia="宋体"/>
                <w:color w:val="000000" w:themeColor="text1"/>
                <w:sz w:val="20"/>
                <w:szCs w:val="20"/>
              </w:rPr>
              <w:t>提供</w:t>
            </w:r>
            <w:r>
              <w:rPr>
                <w:rFonts w:hint="eastAsia" w:ascii="宋体" w:hAnsi="宋体" w:eastAsia="宋体"/>
                <w:color w:val="000000" w:themeColor="text1"/>
                <w:sz w:val="20"/>
                <w:szCs w:val="20"/>
              </w:rPr>
              <w:t>厂家针对该项目授权书原件，售后服务承诺书原件。</w:t>
            </w:r>
          </w:p>
        </w:tc>
        <w:tc>
          <w:tcPr>
            <w:tcW w:w="436"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套</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90" w:type="dxa"/>
            <w:vAlign w:val="center"/>
          </w:tcPr>
          <w:p>
            <w:pPr>
              <w:jc w:val="center"/>
              <w:rPr>
                <w:rFonts w:ascii="宋体" w:hAnsi="宋体" w:eastAsia="宋体"/>
                <w:color w:val="000000" w:themeColor="text1"/>
                <w:sz w:val="20"/>
                <w:szCs w:val="20"/>
              </w:rPr>
            </w:pPr>
            <w:r>
              <w:rPr>
                <w:rFonts w:ascii="宋体" w:hAnsi="宋体" w:eastAsia="宋体"/>
                <w:color w:val="000000" w:themeColor="text1"/>
                <w:sz w:val="20"/>
                <w:szCs w:val="20"/>
              </w:rPr>
              <w:t>1</w:t>
            </w:r>
            <w:r>
              <w:rPr>
                <w:rFonts w:hint="eastAsia" w:ascii="宋体" w:hAnsi="宋体" w:eastAsia="宋体"/>
                <w:color w:val="000000" w:themeColor="text1"/>
                <w:sz w:val="20"/>
                <w:szCs w:val="20"/>
              </w:rPr>
              <w:t>4</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系统安装线材、耗材、线槽、安装调试、培训等</w:t>
            </w:r>
          </w:p>
        </w:tc>
        <w:tc>
          <w:tcPr>
            <w:tcW w:w="9079" w:type="dxa"/>
            <w:vAlign w:val="center"/>
          </w:tcPr>
          <w:p>
            <w:pPr>
              <w:jc w:val="left"/>
              <w:rPr>
                <w:rFonts w:ascii="宋体" w:hAnsi="宋体" w:eastAsia="宋体"/>
                <w:color w:val="000000" w:themeColor="text1"/>
                <w:sz w:val="20"/>
                <w:szCs w:val="20"/>
              </w:rPr>
            </w:pPr>
            <w:r>
              <w:rPr>
                <w:rFonts w:hint="eastAsia" w:ascii="宋体" w:hAnsi="宋体" w:eastAsia="宋体"/>
                <w:color w:val="000000" w:themeColor="text1"/>
                <w:sz w:val="20"/>
                <w:szCs w:val="20"/>
              </w:rPr>
              <w:t>网线</w:t>
            </w:r>
            <w:r>
              <w:rPr>
                <w:rFonts w:ascii="宋体" w:hAnsi="宋体" w:eastAsia="宋体"/>
                <w:color w:val="000000" w:themeColor="text1"/>
                <w:sz w:val="20"/>
                <w:szCs w:val="20"/>
              </w:rPr>
              <w:t>、电源线、</w:t>
            </w:r>
            <w:r>
              <w:rPr>
                <w:rFonts w:hint="eastAsia" w:ascii="宋体" w:hAnsi="宋体" w:eastAsia="宋体"/>
                <w:color w:val="000000" w:themeColor="text1"/>
                <w:sz w:val="20"/>
                <w:szCs w:val="20"/>
              </w:rPr>
              <w:t>PVC管槽</w:t>
            </w:r>
            <w:r>
              <w:rPr>
                <w:rFonts w:ascii="宋体" w:hAnsi="宋体" w:eastAsia="宋体"/>
                <w:color w:val="000000" w:themeColor="text1"/>
                <w:sz w:val="20"/>
                <w:szCs w:val="20"/>
              </w:rPr>
              <w:t>等</w:t>
            </w:r>
          </w:p>
        </w:tc>
        <w:tc>
          <w:tcPr>
            <w:tcW w:w="436" w:type="dxa"/>
            <w:vAlign w:val="center"/>
          </w:tcPr>
          <w:p>
            <w:pPr>
              <w:widowControl/>
              <w:jc w:val="center"/>
              <w:rPr>
                <w:rFonts w:ascii="宋体" w:hAnsi="宋体" w:eastAsia="宋体"/>
                <w:color w:val="000000" w:themeColor="text1"/>
                <w:sz w:val="20"/>
                <w:szCs w:val="20"/>
              </w:rPr>
            </w:pPr>
            <w:r>
              <w:rPr>
                <w:rFonts w:hint="eastAsia" w:ascii="宋体" w:hAnsi="宋体" w:eastAsia="宋体"/>
                <w:color w:val="000000" w:themeColor="text1"/>
                <w:sz w:val="20"/>
                <w:szCs w:val="20"/>
              </w:rPr>
              <w:t>批</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90" w:type="dxa"/>
            <w:vAlign w:val="center"/>
          </w:tcPr>
          <w:p>
            <w:pPr>
              <w:jc w:val="center"/>
              <w:rPr>
                <w:rFonts w:ascii="宋体" w:hAnsi="宋体" w:eastAsia="宋体"/>
                <w:color w:val="000000" w:themeColor="text1"/>
                <w:sz w:val="20"/>
                <w:szCs w:val="20"/>
              </w:rPr>
            </w:pPr>
            <w:r>
              <w:rPr>
                <w:rFonts w:ascii="宋体" w:hAnsi="宋体" w:eastAsia="宋体"/>
                <w:color w:val="000000" w:themeColor="text1"/>
                <w:sz w:val="20"/>
                <w:szCs w:val="20"/>
              </w:rPr>
              <w:t>1</w:t>
            </w:r>
            <w:r>
              <w:rPr>
                <w:rFonts w:hint="eastAsia" w:ascii="宋体" w:hAnsi="宋体" w:eastAsia="宋体"/>
                <w:color w:val="000000" w:themeColor="text1"/>
                <w:sz w:val="20"/>
                <w:szCs w:val="20"/>
              </w:rPr>
              <w:t>5</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琴房管理系统与校园一卡通对接费</w:t>
            </w:r>
          </w:p>
        </w:tc>
        <w:tc>
          <w:tcPr>
            <w:tcW w:w="9079" w:type="dxa"/>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端口开发(中间库/web接口)</w:t>
            </w:r>
          </w:p>
        </w:tc>
        <w:tc>
          <w:tcPr>
            <w:tcW w:w="436" w:type="dxa"/>
            <w:vAlign w:val="center"/>
          </w:tcPr>
          <w:p>
            <w:pPr>
              <w:widowControl/>
              <w:jc w:val="center"/>
              <w:rPr>
                <w:rFonts w:ascii="宋体" w:hAnsi="宋体" w:eastAsia="宋体"/>
                <w:color w:val="000000" w:themeColor="text1"/>
                <w:sz w:val="20"/>
                <w:szCs w:val="20"/>
              </w:rPr>
            </w:pPr>
            <w:r>
              <w:rPr>
                <w:rFonts w:hint="eastAsia" w:ascii="宋体" w:hAnsi="宋体" w:eastAsia="宋体"/>
                <w:color w:val="000000" w:themeColor="text1"/>
                <w:sz w:val="20"/>
                <w:szCs w:val="20"/>
              </w:rPr>
              <w:t>批</w:t>
            </w:r>
          </w:p>
        </w:tc>
        <w:tc>
          <w:tcPr>
            <w:tcW w:w="551"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w:t>
            </w: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90"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16</w:t>
            </w:r>
          </w:p>
        </w:tc>
        <w:tc>
          <w:tcPr>
            <w:tcW w:w="1484" w:type="dxa"/>
            <w:vAlign w:val="center"/>
          </w:tcPr>
          <w:p>
            <w:pPr>
              <w:jc w:val="center"/>
              <w:rPr>
                <w:rFonts w:ascii="宋体" w:hAnsi="宋体" w:eastAsia="宋体"/>
                <w:color w:val="000000" w:themeColor="text1"/>
                <w:sz w:val="20"/>
                <w:szCs w:val="20"/>
              </w:rPr>
            </w:pPr>
            <w:r>
              <w:rPr>
                <w:rFonts w:hint="eastAsia" w:ascii="宋体" w:hAnsi="宋体" w:eastAsia="宋体"/>
                <w:color w:val="000000" w:themeColor="text1"/>
                <w:sz w:val="20"/>
                <w:szCs w:val="20"/>
              </w:rPr>
              <w:t>合计</w:t>
            </w:r>
          </w:p>
        </w:tc>
        <w:tc>
          <w:tcPr>
            <w:tcW w:w="9079" w:type="dxa"/>
          </w:tcPr>
          <w:p>
            <w:pPr>
              <w:jc w:val="center"/>
              <w:rPr>
                <w:rFonts w:ascii="宋体" w:hAnsi="宋体" w:eastAsia="宋体"/>
                <w:color w:val="000000" w:themeColor="text1"/>
                <w:sz w:val="20"/>
                <w:szCs w:val="20"/>
              </w:rPr>
            </w:pPr>
          </w:p>
        </w:tc>
        <w:tc>
          <w:tcPr>
            <w:tcW w:w="436" w:type="dxa"/>
            <w:vAlign w:val="center"/>
          </w:tcPr>
          <w:p>
            <w:pPr>
              <w:widowControl/>
              <w:jc w:val="center"/>
              <w:rPr>
                <w:rFonts w:ascii="宋体" w:hAnsi="宋体" w:eastAsia="宋体"/>
                <w:color w:val="000000" w:themeColor="text1"/>
                <w:sz w:val="20"/>
                <w:szCs w:val="20"/>
              </w:rPr>
            </w:pPr>
          </w:p>
        </w:tc>
        <w:tc>
          <w:tcPr>
            <w:tcW w:w="551" w:type="dxa"/>
            <w:vAlign w:val="center"/>
          </w:tcPr>
          <w:p>
            <w:pPr>
              <w:jc w:val="center"/>
              <w:rPr>
                <w:rFonts w:ascii="宋体" w:hAnsi="宋体" w:eastAsia="宋体"/>
                <w:color w:val="000000" w:themeColor="text1"/>
                <w:sz w:val="20"/>
                <w:szCs w:val="20"/>
              </w:rPr>
            </w:pPr>
          </w:p>
        </w:tc>
        <w:tc>
          <w:tcPr>
            <w:tcW w:w="844" w:type="dxa"/>
            <w:vAlign w:val="center"/>
          </w:tcPr>
          <w:p>
            <w:pPr>
              <w:jc w:val="center"/>
              <w:rPr>
                <w:rFonts w:ascii="宋体" w:hAnsi="宋体" w:eastAsia="宋体"/>
                <w:color w:val="000000" w:themeColor="text1"/>
                <w:sz w:val="20"/>
                <w:szCs w:val="20"/>
              </w:rPr>
            </w:pPr>
          </w:p>
        </w:tc>
        <w:tc>
          <w:tcPr>
            <w:tcW w:w="845" w:type="dxa"/>
            <w:vAlign w:val="center"/>
          </w:tcPr>
          <w:p>
            <w:pPr>
              <w:jc w:val="center"/>
              <w:rPr>
                <w:rFonts w:ascii="宋体" w:hAnsi="宋体" w:eastAsia="宋体"/>
                <w:color w:val="000000" w:themeColor="text1"/>
                <w:sz w:val="20"/>
                <w:szCs w:val="20"/>
              </w:rPr>
            </w:pPr>
          </w:p>
        </w:tc>
      </w:tr>
    </w:tbl>
    <w:p>
      <w:pPr>
        <w:jc w:val="center"/>
        <w:rPr>
          <w:b/>
          <w:sz w:val="28"/>
          <w:szCs w:val="28"/>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EA43A"/>
    <w:multiLevelType w:val="singleLevel"/>
    <w:tmpl w:val="D9CEA4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zk1OTNhZTY5MjU3ZGZiNTFmNTA2MTU2MmViOWMifQ=="/>
  </w:docVars>
  <w:rsids>
    <w:rsidRoot w:val="00B31F31"/>
    <w:rsid w:val="00030322"/>
    <w:rsid w:val="00033DC2"/>
    <w:rsid w:val="00063BFA"/>
    <w:rsid w:val="00081B0A"/>
    <w:rsid w:val="000907BE"/>
    <w:rsid w:val="000B76D3"/>
    <w:rsid w:val="00105C14"/>
    <w:rsid w:val="00115847"/>
    <w:rsid w:val="001410E7"/>
    <w:rsid w:val="00207865"/>
    <w:rsid w:val="00220C22"/>
    <w:rsid w:val="00253537"/>
    <w:rsid w:val="00260ADF"/>
    <w:rsid w:val="00260BEC"/>
    <w:rsid w:val="00265FC1"/>
    <w:rsid w:val="00273CB7"/>
    <w:rsid w:val="00276EE9"/>
    <w:rsid w:val="002A462E"/>
    <w:rsid w:val="002A58E1"/>
    <w:rsid w:val="00303562"/>
    <w:rsid w:val="003257AA"/>
    <w:rsid w:val="00395DE1"/>
    <w:rsid w:val="003A1795"/>
    <w:rsid w:val="003B623D"/>
    <w:rsid w:val="003C4BAC"/>
    <w:rsid w:val="00444F47"/>
    <w:rsid w:val="00453447"/>
    <w:rsid w:val="0046557F"/>
    <w:rsid w:val="0047368A"/>
    <w:rsid w:val="004814CC"/>
    <w:rsid w:val="00481B15"/>
    <w:rsid w:val="00483DC5"/>
    <w:rsid w:val="004D264E"/>
    <w:rsid w:val="00595C3F"/>
    <w:rsid w:val="005C0745"/>
    <w:rsid w:val="00620C79"/>
    <w:rsid w:val="006F312F"/>
    <w:rsid w:val="007043AA"/>
    <w:rsid w:val="0078424A"/>
    <w:rsid w:val="007D4B83"/>
    <w:rsid w:val="007D5B34"/>
    <w:rsid w:val="007D68E9"/>
    <w:rsid w:val="007E1754"/>
    <w:rsid w:val="007E5F8E"/>
    <w:rsid w:val="007E7A34"/>
    <w:rsid w:val="00823E55"/>
    <w:rsid w:val="00824395"/>
    <w:rsid w:val="00834168"/>
    <w:rsid w:val="008F4CE9"/>
    <w:rsid w:val="00944AED"/>
    <w:rsid w:val="00944F13"/>
    <w:rsid w:val="009647F5"/>
    <w:rsid w:val="009C2009"/>
    <w:rsid w:val="00A212C2"/>
    <w:rsid w:val="00A457DB"/>
    <w:rsid w:val="00A5440B"/>
    <w:rsid w:val="00A737A6"/>
    <w:rsid w:val="00A876C0"/>
    <w:rsid w:val="00B31F31"/>
    <w:rsid w:val="00B6489D"/>
    <w:rsid w:val="00B771BC"/>
    <w:rsid w:val="00C26AA6"/>
    <w:rsid w:val="00C34EE2"/>
    <w:rsid w:val="00C43055"/>
    <w:rsid w:val="00C56097"/>
    <w:rsid w:val="00C601FD"/>
    <w:rsid w:val="00CA0147"/>
    <w:rsid w:val="00CC0DDB"/>
    <w:rsid w:val="00CF21FA"/>
    <w:rsid w:val="00D010F9"/>
    <w:rsid w:val="00D11BBE"/>
    <w:rsid w:val="00D350E1"/>
    <w:rsid w:val="00D717F7"/>
    <w:rsid w:val="00D71B11"/>
    <w:rsid w:val="00DB474F"/>
    <w:rsid w:val="00DB7006"/>
    <w:rsid w:val="00DE6468"/>
    <w:rsid w:val="00E2145C"/>
    <w:rsid w:val="00E33C37"/>
    <w:rsid w:val="00E34955"/>
    <w:rsid w:val="00E80897"/>
    <w:rsid w:val="00EA285C"/>
    <w:rsid w:val="00EA3C46"/>
    <w:rsid w:val="00EF2B25"/>
    <w:rsid w:val="00F719B8"/>
    <w:rsid w:val="00F832DE"/>
    <w:rsid w:val="00F87A8E"/>
    <w:rsid w:val="00FB4F3C"/>
    <w:rsid w:val="00FD5A24"/>
    <w:rsid w:val="00FF3D8F"/>
    <w:rsid w:val="0BF81413"/>
    <w:rsid w:val="14AB3737"/>
    <w:rsid w:val="15B17473"/>
    <w:rsid w:val="16CA1CAE"/>
    <w:rsid w:val="18303485"/>
    <w:rsid w:val="18D6270E"/>
    <w:rsid w:val="1B1A35AE"/>
    <w:rsid w:val="1C2615F8"/>
    <w:rsid w:val="1C4306F9"/>
    <w:rsid w:val="1D5B0050"/>
    <w:rsid w:val="20600CE8"/>
    <w:rsid w:val="27DD24A2"/>
    <w:rsid w:val="2B164537"/>
    <w:rsid w:val="3DE97D10"/>
    <w:rsid w:val="3EF861A9"/>
    <w:rsid w:val="47043EC6"/>
    <w:rsid w:val="5753485D"/>
    <w:rsid w:val="6B405450"/>
    <w:rsid w:val="6DB377F7"/>
    <w:rsid w:val="726D467A"/>
    <w:rsid w:val="7ABE3165"/>
    <w:rsid w:val="7E13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3551</Words>
  <Characters>3999</Characters>
  <Lines>29</Lines>
  <Paragraphs>8</Paragraphs>
  <TotalTime>142</TotalTime>
  <ScaleCrop>false</ScaleCrop>
  <LinksUpToDate>false</LinksUpToDate>
  <CharactersWithSpaces>4023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2021-09-02T02:52:00Z</dcterms:created>
  <dc:creator>zhou</dc:creator>
  <cp:lastModifiedBy>没出息的小平凡。</cp:lastModifiedBy>
  <dcterms:modified xsi:type="dcterms:W3CDTF">2022-06-24T07:38:33Z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698DBB249218428E9B5B12AC461A9BD4</vt:lpwstr>
  </property>
</Properties>
</file>