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sz w:val="30"/>
          <w:szCs w:val="30"/>
        </w:rPr>
      </w:pPr>
      <w:bookmarkStart w:id="0" w:name="_Toc29922"/>
      <w:bookmarkStart w:id="1" w:name="_Toc1271"/>
      <w:bookmarkStart w:id="2" w:name="_Toc23489"/>
      <w:r>
        <w:rPr>
          <w:rFonts w:hint="eastAsia"/>
          <w:sz w:val="30"/>
          <w:szCs w:val="30"/>
          <w:lang w:val="en-US" w:eastAsia="zh-CN"/>
        </w:rPr>
        <w:t>采购</w:t>
      </w:r>
      <w:r>
        <w:rPr>
          <w:rFonts w:hint="eastAsia"/>
          <w:sz w:val="30"/>
          <w:szCs w:val="30"/>
        </w:rPr>
        <w:t>需求</w:t>
      </w:r>
    </w:p>
    <w:p>
      <w:pPr>
        <w:pStyle w:val="2"/>
        <w:jc w:val="both"/>
        <w:rPr>
          <w:rFonts w:ascii="黑体" w:hAnsi="黑体" w:eastAsia="黑体" w:cs="黑体"/>
          <w:b w:val="0"/>
          <w:bCs w:val="0"/>
          <w:szCs w:val="28"/>
        </w:rPr>
      </w:pPr>
    </w:p>
    <w:p>
      <w:pPr>
        <w:pStyle w:val="2"/>
        <w:jc w:val="both"/>
        <w:rPr>
          <w:rFonts w:ascii="黑体" w:hAnsi="黑体" w:eastAsia="黑体" w:cs="黑体"/>
          <w:b w:val="0"/>
          <w:bCs w:val="0"/>
          <w:szCs w:val="28"/>
        </w:rPr>
      </w:pPr>
      <w:r>
        <w:rPr>
          <w:rFonts w:hint="eastAsia" w:ascii="黑体" w:hAnsi="黑体" w:eastAsia="黑体" w:cs="黑体"/>
          <w:b w:val="0"/>
          <w:bCs w:val="0"/>
          <w:szCs w:val="28"/>
        </w:rPr>
        <w:t>一、</w:t>
      </w:r>
      <w:bookmarkEnd w:id="0"/>
      <w:bookmarkEnd w:id="1"/>
      <w:bookmarkEnd w:id="2"/>
      <w:r>
        <w:rPr>
          <w:rFonts w:hint="eastAsia" w:ascii="黑体" w:hAnsi="黑体" w:eastAsia="黑体" w:cs="黑体"/>
          <w:b w:val="0"/>
          <w:bCs w:val="0"/>
          <w:szCs w:val="28"/>
        </w:rPr>
        <w:t>项目概况</w:t>
      </w:r>
    </w:p>
    <w:p>
      <w:pPr>
        <w:ind w:firstLine="480" w:firstLineChars="200"/>
        <w:rPr>
          <w:rFonts w:ascii="微软雅黑" w:hAnsi="微软雅黑" w:eastAsia="微软雅黑" w:cs="微软雅黑"/>
          <w:sz w:val="24"/>
          <w:szCs w:val="24"/>
        </w:rPr>
      </w:pPr>
      <w:bookmarkStart w:id="3" w:name="_Toc27568"/>
      <w:r>
        <w:rPr>
          <w:rFonts w:hint="eastAsia" w:ascii="宋体" w:hAnsi="宋体" w:cs="宋体"/>
          <w:sz w:val="24"/>
          <w:szCs w:val="24"/>
        </w:rPr>
        <w:t>桐城师范高等专科学校职业指导工作室总面积约30平方米，共2个房间，拟规划2个功能室，共2个功能区，包括：个体咨询室、多功能团体咨询室以及室外文化区展示。</w:t>
      </w:r>
      <w:bookmarkEnd w:id="3"/>
      <w:bookmarkStart w:id="4" w:name="_Toc31227"/>
      <w:bookmarkStart w:id="5" w:name="_Toc1885"/>
      <w:bookmarkStart w:id="6" w:name="_Toc10216402"/>
      <w:bookmarkStart w:id="7" w:name="_Toc43383644"/>
      <w:bookmarkStart w:id="8" w:name="_Toc524882962"/>
    </w:p>
    <w:p>
      <w:pPr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（一）</w:t>
      </w:r>
      <w:bookmarkEnd w:id="4"/>
      <w:bookmarkEnd w:id="5"/>
      <w:r>
        <w:rPr>
          <w:rFonts w:hint="eastAsia" w:ascii="宋体" w:hAnsi="宋体" w:cs="宋体"/>
          <w:sz w:val="24"/>
          <w:szCs w:val="24"/>
        </w:rPr>
        <w:t>个体咨询室</w:t>
      </w:r>
    </w:p>
    <w:p>
      <w:pPr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1、区域功能说明：</w:t>
      </w:r>
    </w:p>
    <w:p>
      <w:pPr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①职业指导工作室主要用于为学生开展职业指导服务；</w:t>
      </w:r>
    </w:p>
    <w:p>
      <w:pPr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②处理日常咨询事务，整理保存咨询者成长记录，方便管理和查找；</w:t>
      </w:r>
    </w:p>
    <w:p>
      <w:pPr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③放置沙发是为了进行个体咨询创造环境和氛围；</w:t>
      </w:r>
    </w:p>
    <w:p>
      <w:pPr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④作为档案室，科学、规范的保存职业指导工作与咨询档案。</w:t>
      </w:r>
    </w:p>
    <w:p>
      <w:pPr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2、区域面积：</w:t>
      </w:r>
    </w:p>
    <w:p>
      <w:pPr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约15m</w:t>
      </w:r>
      <w:r>
        <w:rPr>
          <w:rFonts w:hint="eastAsia" w:ascii="宋体" w:hAnsi="宋体" w:cs="宋体"/>
          <w:sz w:val="24"/>
          <w:szCs w:val="24"/>
          <w:vertAlign w:val="superscript"/>
        </w:rPr>
        <w:t>2</w:t>
      </w:r>
      <w:r>
        <w:rPr>
          <w:rFonts w:hint="eastAsia" w:ascii="宋体" w:hAnsi="宋体" w:cs="宋体"/>
          <w:sz w:val="24"/>
          <w:szCs w:val="24"/>
        </w:rPr>
        <w:t>。</w:t>
      </w:r>
    </w:p>
    <w:p>
      <w:pPr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3、产品配置：</w:t>
      </w:r>
    </w:p>
    <w:p>
      <w:pPr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办公桌椅、办公电脑、档案柜、沙发、书架、规章制度等。</w:t>
      </w:r>
    </w:p>
    <w:p>
      <w:pPr>
        <w:ind w:firstLine="480" w:firstLineChars="200"/>
        <w:rPr>
          <w:rFonts w:ascii="宋体" w:hAnsi="宋体" w:cs="宋体"/>
          <w:sz w:val="24"/>
          <w:szCs w:val="24"/>
        </w:rPr>
      </w:pPr>
      <w:bookmarkStart w:id="9" w:name="_Toc24361"/>
      <w:r>
        <w:rPr>
          <w:rFonts w:hint="eastAsia" w:ascii="宋体" w:hAnsi="宋体" w:cs="宋体"/>
          <w:sz w:val="24"/>
          <w:szCs w:val="24"/>
        </w:rPr>
        <w:t>（二）</w:t>
      </w:r>
      <w:bookmarkEnd w:id="6"/>
      <w:bookmarkEnd w:id="7"/>
      <w:bookmarkEnd w:id="8"/>
      <w:bookmarkEnd w:id="9"/>
      <w:r>
        <w:rPr>
          <w:rFonts w:hint="eastAsia" w:ascii="宋体" w:hAnsi="宋体" w:cs="宋体"/>
          <w:sz w:val="24"/>
          <w:szCs w:val="24"/>
        </w:rPr>
        <w:t>多功能团体咨询室</w:t>
      </w:r>
    </w:p>
    <w:p>
      <w:pPr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1、区域功能说明：</w:t>
      </w:r>
    </w:p>
    <w:p>
      <w:pPr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①通过团体辅导训练，使成员们正确认识白我，清楚白己的就业优势和不足，学习职场就业技能，做好白己的职业生涯规划，克服就业障碍，找到白己心目中的理想职业，实现人生的目标。</w:t>
      </w:r>
    </w:p>
    <w:p>
      <w:pPr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②放置条桌方便开展工作例会、活动策划、案例会诊以及开展职业咨询团体活动；</w:t>
      </w:r>
    </w:p>
    <w:p>
      <w:pPr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③放置书架，提供职业指导规划类书籍方便学生查阅。</w:t>
      </w:r>
    </w:p>
    <w:p>
      <w:pPr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2、区域面积：</w:t>
      </w:r>
    </w:p>
    <w:p>
      <w:pPr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约15m</w:t>
      </w:r>
      <w:r>
        <w:rPr>
          <w:rFonts w:hint="eastAsia" w:ascii="宋体" w:hAnsi="宋体" w:cs="宋体"/>
          <w:sz w:val="24"/>
          <w:szCs w:val="24"/>
          <w:vertAlign w:val="superscript"/>
        </w:rPr>
        <w:t>2</w:t>
      </w:r>
      <w:r>
        <w:rPr>
          <w:rFonts w:hint="eastAsia" w:ascii="宋体" w:hAnsi="宋体" w:cs="宋体"/>
          <w:sz w:val="24"/>
          <w:szCs w:val="24"/>
        </w:rPr>
        <w:t>。</w:t>
      </w:r>
    </w:p>
    <w:p>
      <w:pPr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3、产品配置：</w:t>
      </w:r>
    </w:p>
    <w:p>
      <w:pPr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多人条桌、折叠椅、书架、</w:t>
      </w:r>
      <w:r>
        <w:rPr>
          <w:rFonts w:hint="eastAsia" w:ascii="宋体" w:hAnsi="宋体" w:cs="宋体"/>
          <w:color w:val="000000"/>
          <w:sz w:val="24"/>
          <w:szCs w:val="24"/>
        </w:rPr>
        <w:t>支架式书写板</w:t>
      </w:r>
      <w:r>
        <w:rPr>
          <w:rFonts w:hint="eastAsia" w:ascii="宋体" w:hAnsi="宋体" w:cs="宋体"/>
          <w:sz w:val="24"/>
          <w:szCs w:val="24"/>
        </w:rPr>
        <w:t>等。</w:t>
      </w:r>
    </w:p>
    <w:p>
      <w:pPr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职业指导工作室以促进学生的个体特色发展为基本理念，打造测评、咨询预约“一站式”服务；采取“预约分诊、全程跟进、即询即反”的制式流程；定期开展专题团体咨询辅导，讲座、生涯探索活动、求职训练营等系列咨询活动；帮助学生有针对性地解决自我探索、职业探索、生涯决策、求职技巧、自我管理等困惑，激发促进学生内驱力生成，提升学生求职技能，树立积极向上的择业观。为帮助同学们更高质量、更充分地就业，工作室组织开展了“我们的成长岁月”暨优秀毕业生经验交流、模拟求职大赛、生涯体验周、就业嘉年华等一系列品牌活动。我们将以此为契机，持续加内涵建设，优化咨询预约平台和咨询反馈机制，提升服务的精准化、专业化水平，更好地满足同学们职业生涯发展的个性化需求。</w:t>
      </w:r>
    </w:p>
    <w:p/>
    <w:p>
      <w:pPr>
        <w:pStyle w:val="11"/>
      </w:pPr>
    </w:p>
    <w:p>
      <w:pPr>
        <w:pStyle w:val="12"/>
      </w:pPr>
    </w:p>
    <w:p/>
    <w:p>
      <w:pPr>
        <w:pStyle w:val="11"/>
      </w:pPr>
    </w:p>
    <w:p>
      <w:pPr>
        <w:pStyle w:val="12"/>
      </w:pPr>
    </w:p>
    <w:p>
      <w:pPr>
        <w:pStyle w:val="3"/>
        <w:sectPr>
          <w:footerReference r:id="rId5" w:type="first"/>
          <w:headerReference r:id="rId3" w:type="default"/>
          <w:footerReference r:id="rId4" w:type="default"/>
          <w:pgSz w:w="11906" w:h="16838"/>
          <w:pgMar w:top="1440" w:right="1800" w:bottom="1440" w:left="1800" w:header="851" w:footer="850" w:gutter="0"/>
          <w:pgNumType w:start="1"/>
          <w:cols w:space="720" w:num="1"/>
          <w:titlePg/>
          <w:docGrid w:type="lines" w:linePitch="312" w:charSpace="0"/>
        </w:sectPr>
      </w:pPr>
    </w:p>
    <w:p>
      <w:pPr>
        <w:pStyle w:val="2"/>
        <w:jc w:val="both"/>
        <w:rPr>
          <w:rFonts w:ascii="黑体" w:hAnsi="黑体" w:eastAsia="黑体" w:cs="黑体"/>
          <w:b w:val="0"/>
          <w:bCs w:val="0"/>
          <w:szCs w:val="28"/>
        </w:rPr>
      </w:pPr>
      <w:bookmarkStart w:id="10" w:name="_Toc1143"/>
      <w:bookmarkStart w:id="11" w:name="_Toc25646"/>
      <w:r>
        <w:rPr>
          <w:rFonts w:hint="eastAsia" w:ascii="黑体" w:hAnsi="黑体" w:eastAsia="黑体" w:cs="黑体"/>
          <w:b w:val="0"/>
          <w:bCs w:val="0"/>
          <w:szCs w:val="28"/>
        </w:rPr>
        <w:t>二、配置清单</w:t>
      </w:r>
      <w:bookmarkEnd w:id="10"/>
      <w:bookmarkEnd w:id="11"/>
    </w:p>
    <w:p/>
    <w:tbl>
      <w:tblPr>
        <w:tblStyle w:val="18"/>
        <w:tblW w:w="544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6"/>
        <w:gridCol w:w="3455"/>
        <w:gridCol w:w="1163"/>
        <w:gridCol w:w="1186"/>
        <w:gridCol w:w="1199"/>
        <w:gridCol w:w="11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586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862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货物名称</w:t>
            </w:r>
          </w:p>
        </w:tc>
        <w:tc>
          <w:tcPr>
            <w:tcW w:w="627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单位</w:t>
            </w:r>
          </w:p>
        </w:tc>
        <w:tc>
          <w:tcPr>
            <w:tcW w:w="639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数量</w:t>
            </w:r>
          </w:p>
        </w:tc>
        <w:tc>
          <w:tcPr>
            <w:tcW w:w="644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单价</w:t>
            </w:r>
          </w:p>
        </w:tc>
        <w:tc>
          <w:tcPr>
            <w:tcW w:w="639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总价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586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862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接待沙发茶几</w:t>
            </w:r>
          </w:p>
        </w:tc>
        <w:tc>
          <w:tcPr>
            <w:tcW w:w="627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套</w:t>
            </w:r>
          </w:p>
        </w:tc>
        <w:tc>
          <w:tcPr>
            <w:tcW w:w="63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63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586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862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办公桌椅</w:t>
            </w:r>
          </w:p>
        </w:tc>
        <w:tc>
          <w:tcPr>
            <w:tcW w:w="627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套</w:t>
            </w:r>
          </w:p>
        </w:tc>
        <w:tc>
          <w:tcPr>
            <w:tcW w:w="63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63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586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862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人条桌</w:t>
            </w:r>
          </w:p>
        </w:tc>
        <w:tc>
          <w:tcPr>
            <w:tcW w:w="627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套</w:t>
            </w:r>
          </w:p>
        </w:tc>
        <w:tc>
          <w:tcPr>
            <w:tcW w:w="63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63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586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862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折叠椅</w:t>
            </w:r>
          </w:p>
        </w:tc>
        <w:tc>
          <w:tcPr>
            <w:tcW w:w="627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把</w:t>
            </w:r>
          </w:p>
        </w:tc>
        <w:tc>
          <w:tcPr>
            <w:tcW w:w="63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63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586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862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档案柜</w:t>
            </w:r>
          </w:p>
        </w:tc>
        <w:tc>
          <w:tcPr>
            <w:tcW w:w="627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63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63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586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862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简易书架</w:t>
            </w:r>
          </w:p>
        </w:tc>
        <w:tc>
          <w:tcPr>
            <w:tcW w:w="627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63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63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586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862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表单收纳架</w:t>
            </w:r>
          </w:p>
        </w:tc>
        <w:tc>
          <w:tcPr>
            <w:tcW w:w="627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63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63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586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862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支架式书写板</w:t>
            </w:r>
          </w:p>
        </w:tc>
        <w:tc>
          <w:tcPr>
            <w:tcW w:w="627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63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63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586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1862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打印机</w:t>
            </w:r>
          </w:p>
        </w:tc>
        <w:tc>
          <w:tcPr>
            <w:tcW w:w="627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  <w:tc>
          <w:tcPr>
            <w:tcW w:w="63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63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586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862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挂钟</w:t>
            </w:r>
          </w:p>
        </w:tc>
        <w:tc>
          <w:tcPr>
            <w:tcW w:w="627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台</w:t>
            </w:r>
          </w:p>
        </w:tc>
        <w:tc>
          <w:tcPr>
            <w:tcW w:w="63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63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586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1862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台式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电脑</w:t>
            </w:r>
          </w:p>
        </w:tc>
        <w:tc>
          <w:tcPr>
            <w:tcW w:w="627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63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63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586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1862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笔记本电脑</w:t>
            </w:r>
          </w:p>
        </w:tc>
        <w:tc>
          <w:tcPr>
            <w:tcW w:w="627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63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63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586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862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电水壶</w:t>
            </w:r>
          </w:p>
        </w:tc>
        <w:tc>
          <w:tcPr>
            <w:tcW w:w="627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63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63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586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862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职业生涯测评、规划软件</w:t>
            </w:r>
          </w:p>
        </w:tc>
        <w:tc>
          <w:tcPr>
            <w:tcW w:w="627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套</w:t>
            </w:r>
          </w:p>
        </w:tc>
        <w:tc>
          <w:tcPr>
            <w:tcW w:w="63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63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586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862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装修装饰及环境布展</w:t>
            </w:r>
          </w:p>
        </w:tc>
        <w:tc>
          <w:tcPr>
            <w:tcW w:w="627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项</w:t>
            </w:r>
          </w:p>
        </w:tc>
        <w:tc>
          <w:tcPr>
            <w:tcW w:w="63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64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63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360" w:type="pct"/>
            <w:gridSpan w:val="5"/>
            <w:shd w:val="clear" w:color="auto" w:fill="auto"/>
            <w:noWrap/>
            <w:vAlign w:val="center"/>
          </w:tcPr>
          <w:p>
            <w:pPr>
              <w:widowControl/>
              <w:tabs>
                <w:tab w:val="left" w:pos="2964"/>
              </w:tabs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合计</w:t>
            </w:r>
          </w:p>
        </w:tc>
        <w:tc>
          <w:tcPr>
            <w:tcW w:w="639" w:type="pct"/>
            <w:shd w:val="clear" w:color="auto" w:fill="auto"/>
            <w:noWrap/>
            <w:vAlign w:val="center"/>
          </w:tcPr>
          <w:p>
            <w:pPr>
              <w:widowControl/>
              <w:tabs>
                <w:tab w:val="left" w:pos="2964"/>
              </w:tabs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</w:tbl>
    <w:p>
      <w:pPr>
        <w:pStyle w:val="12"/>
        <w:ind w:left="0" w:leftChars="0"/>
      </w:pPr>
    </w:p>
    <w:p/>
    <w:p>
      <w:pPr>
        <w:pStyle w:val="11"/>
      </w:pPr>
    </w:p>
    <w:p>
      <w:pPr>
        <w:pStyle w:val="12"/>
      </w:pPr>
    </w:p>
    <w:p>
      <w:bookmarkStart w:id="13" w:name="_GoBack"/>
      <w:bookmarkEnd w:id="13"/>
    </w:p>
    <w:p>
      <w:pPr>
        <w:pStyle w:val="11"/>
      </w:pPr>
    </w:p>
    <w:p>
      <w:pPr>
        <w:sectPr>
          <w:headerReference r:id="rId6" w:type="default"/>
          <w:footerReference r:id="rId7" w:type="default"/>
          <w:pgSz w:w="11906" w:h="16838"/>
          <w:pgMar w:top="1440" w:right="1800" w:bottom="1440" w:left="1800" w:header="851" w:footer="850" w:gutter="0"/>
          <w:cols w:space="720" w:num="1"/>
          <w:titlePg/>
          <w:docGrid w:type="lines" w:linePitch="312" w:charSpace="0"/>
        </w:sectPr>
      </w:pPr>
    </w:p>
    <w:p>
      <w:pPr>
        <w:pStyle w:val="2"/>
        <w:rPr>
          <w:rFonts w:ascii="黑体" w:hAnsi="黑体" w:eastAsia="黑体" w:cs="黑体"/>
          <w:b w:val="0"/>
          <w:bCs w:val="0"/>
          <w:szCs w:val="28"/>
        </w:rPr>
      </w:pPr>
      <w:bookmarkStart w:id="12" w:name="_Toc6388"/>
      <w:r>
        <w:rPr>
          <w:rFonts w:hint="eastAsia" w:ascii="黑体" w:hAnsi="黑体" w:eastAsia="黑体" w:cs="黑体"/>
          <w:b w:val="0"/>
          <w:bCs w:val="0"/>
          <w:szCs w:val="28"/>
        </w:rPr>
        <w:t>三、设备参数</w:t>
      </w:r>
      <w:bookmarkEnd w:id="12"/>
    </w:p>
    <w:tbl>
      <w:tblPr>
        <w:tblStyle w:val="18"/>
        <w:tblW w:w="5947" w:type="pct"/>
        <w:tblInd w:w="-10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1781"/>
        <w:gridCol w:w="6079"/>
        <w:gridCol w:w="705"/>
        <w:gridCol w:w="7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78" w:type="pct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861" w:type="pct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2940" w:type="pct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参数</w:t>
            </w:r>
          </w:p>
        </w:tc>
        <w:tc>
          <w:tcPr>
            <w:tcW w:w="341" w:type="pct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377" w:type="pct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78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61" w:type="pct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接待沙发茶几</w:t>
            </w:r>
          </w:p>
        </w:tc>
        <w:tc>
          <w:tcPr>
            <w:tcW w:w="2940" w:type="pct"/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一、沙发</w:t>
            </w:r>
          </w:p>
          <w:p>
            <w:pPr>
              <w:widowControl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单人沙发接触面采用纳帕仿真皮，海绵、橡胶垫填充，实木框架，蛇形弹簧打底+纸包钢丝，铁艺五金脚，单人位沙发尺寸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约为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75*70*79cm。三人沙发接触面采用纳帕仿真皮，海绵、橡胶垫填充，实木框架，蛇形弹簧打底+纸包钢丝，铁艺五金脚，三人位尺寸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约为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174*70*79cm。</w:t>
            </w:r>
          </w:p>
          <w:p>
            <w:pPr>
              <w:widowControl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二、茶几</w:t>
            </w:r>
          </w:p>
          <w:p>
            <w:pPr>
              <w:widowControl/>
              <w:ind w:left="240" w:hanging="240" w:hangingChars="100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茶几：岩板台面+铁艺框架+调节脚，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参考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尺寸120*60*43cm</w:t>
            </w:r>
          </w:p>
          <w:p>
            <w:pPr>
              <w:widowControl/>
              <w:textAlignment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★样式颜色需经采购人确认。</w:t>
            </w:r>
          </w:p>
        </w:tc>
        <w:tc>
          <w:tcPr>
            <w:tcW w:w="341" w:type="pct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377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78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861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办公桌椅</w:t>
            </w:r>
          </w:p>
        </w:tc>
        <w:tc>
          <w:tcPr>
            <w:tcW w:w="2940" w:type="pct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双人对向办公桌，两把配套椅</w:t>
            </w:r>
          </w:p>
          <w:p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大理石桌面、精铁框架，采用纳米烤漆技术，防锈、防掉、漆防氧化</w:t>
            </w:r>
          </w:p>
          <w:p>
            <w:pPr>
              <w:widowControl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椅子：白色PP+GF塑料背框、、可摇摆功能、摇摆角度18度、PA+GF万向轮</w:t>
            </w:r>
          </w:p>
        </w:tc>
        <w:tc>
          <w:tcPr>
            <w:tcW w:w="341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套</w:t>
            </w:r>
          </w:p>
        </w:tc>
        <w:tc>
          <w:tcPr>
            <w:tcW w:w="377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78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861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人条桌</w:t>
            </w:r>
          </w:p>
        </w:tc>
        <w:tc>
          <w:tcPr>
            <w:tcW w:w="2940" w:type="pct"/>
            <w:shd w:val="clear" w:color="auto" w:fill="auto"/>
            <w:noWrap/>
            <w:vAlign w:val="center"/>
          </w:tcPr>
          <w:p>
            <w:pPr>
              <w:pStyle w:val="11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 xml:space="preserve">1.板材：优质三聚氰胺板制成，所有板材切口用环保PVC密封。             </w:t>
            </w:r>
          </w:p>
          <w:p>
            <w:pPr>
              <w:pStyle w:val="11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2.管材：全部采用优质管3*6.5/ 2*5焊接而成。</w:t>
            </w:r>
          </w:p>
          <w:p>
            <w:pPr>
              <w:pStyle w:val="11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3.架子主体材料全部采用优质钢管，壁厚为1.8mm。钢管采用高频焊接钢管，机械性能良好，表面平整。</w:t>
            </w:r>
          </w:p>
          <w:p>
            <w:pPr>
              <w:pStyle w:val="11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4.板材采用25mm/16mm优质三聚氰胺板板贴面，后成型板，具有耐磨，耐热、耐酸碱，耐撞击等性能，E1级环保实木颗粒板。</w:t>
            </w:r>
          </w:p>
          <w:p>
            <w:pPr>
              <w:pStyle w:val="11"/>
              <w:rPr>
                <w:rFonts w:ascii="宋体" w:hAnsi="宋体" w:cs="宋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szCs w:val="24"/>
              </w:rPr>
              <w:t>5.</w:t>
            </w:r>
            <w:r>
              <w:rPr>
                <w:rFonts w:hint="eastAsia" w:ascii="宋体" w:hAnsi="宋体" w:cs="宋体"/>
                <w:szCs w:val="24"/>
                <w:lang w:val="en-US" w:eastAsia="zh-CN"/>
              </w:rPr>
              <w:t>参考</w:t>
            </w:r>
            <w:r>
              <w:rPr>
                <w:rFonts w:hint="eastAsia" w:ascii="宋体" w:hAnsi="宋体" w:cs="宋体"/>
                <w:szCs w:val="24"/>
              </w:rPr>
              <w:t>尺寸1.8m</w:t>
            </w:r>
            <w:r>
              <w:rPr>
                <w:rFonts w:hint="eastAsia" w:ascii="宋体" w:hAnsi="宋体" w:cs="宋体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Cs w:val="24"/>
              </w:rPr>
              <w:t>*</w:t>
            </w:r>
            <w:r>
              <w:rPr>
                <w:rFonts w:hint="eastAsia" w:ascii="宋体" w:hAnsi="宋体" w:cs="宋体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Cs w:val="24"/>
              </w:rPr>
              <w:t>0</w:t>
            </w:r>
            <w:r>
              <w:rPr>
                <w:rFonts w:hint="eastAsia" w:ascii="宋体" w:hAnsi="宋体" w:cs="宋体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szCs w:val="24"/>
              </w:rPr>
              <w:t xml:space="preserve">9m                     </w:t>
            </w:r>
          </w:p>
        </w:tc>
        <w:tc>
          <w:tcPr>
            <w:tcW w:w="341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套</w:t>
            </w:r>
          </w:p>
        </w:tc>
        <w:tc>
          <w:tcPr>
            <w:tcW w:w="377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478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861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折叠椅</w:t>
            </w:r>
          </w:p>
        </w:tc>
        <w:tc>
          <w:tcPr>
            <w:tcW w:w="2940" w:type="pct"/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主体加厚钢管，椅面皮革或者网布，带防滑脚套</w:t>
            </w:r>
          </w:p>
        </w:tc>
        <w:tc>
          <w:tcPr>
            <w:tcW w:w="341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把</w:t>
            </w:r>
          </w:p>
        </w:tc>
        <w:tc>
          <w:tcPr>
            <w:tcW w:w="377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78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861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档案柜</w:t>
            </w:r>
          </w:p>
        </w:tc>
        <w:tc>
          <w:tcPr>
            <w:tcW w:w="2940" w:type="pct"/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大器械文件柜 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4"/>
                <w:szCs w:val="24"/>
              </w:rPr>
              <w:t xml:space="preserve"> 冷轧钢材质 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参考</w:t>
            </w:r>
            <w:r>
              <w:rPr>
                <w:rFonts w:hint="eastAsia" w:ascii="宋体" w:hAnsi="宋体" w:cs="宋体"/>
                <w:sz w:val="24"/>
                <w:szCs w:val="24"/>
              </w:rPr>
              <w:t>尺寸：85*39*180cm</w:t>
            </w:r>
          </w:p>
        </w:tc>
        <w:tc>
          <w:tcPr>
            <w:tcW w:w="341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377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78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861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简易书架</w:t>
            </w:r>
          </w:p>
        </w:tc>
        <w:tc>
          <w:tcPr>
            <w:tcW w:w="2940" w:type="pct"/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材质：人造板,风格：简约现代</w:t>
            </w:r>
          </w:p>
        </w:tc>
        <w:tc>
          <w:tcPr>
            <w:tcW w:w="341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377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78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861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表单收纳架</w:t>
            </w:r>
          </w:p>
        </w:tc>
        <w:tc>
          <w:tcPr>
            <w:tcW w:w="2940" w:type="pct"/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333333"/>
                <w:sz w:val="24"/>
                <w:szCs w:val="24"/>
              </w:rPr>
              <w:t>A4四层资料文件展示架，注塑成型，可摆放，可挂墙。</w:t>
            </w:r>
            <w:r>
              <w:rPr>
                <w:rFonts w:hint="eastAsia" w:ascii="宋体" w:hAnsi="宋体" w:cs="宋体"/>
                <w:color w:val="333333"/>
                <w:sz w:val="24"/>
                <w:szCs w:val="24"/>
                <w:lang w:val="en-US" w:eastAsia="zh-CN"/>
              </w:rPr>
              <w:t>参考</w:t>
            </w:r>
            <w:r>
              <w:rPr>
                <w:rFonts w:hint="eastAsia" w:ascii="宋体" w:hAnsi="宋体" w:cs="宋体"/>
                <w:color w:val="333333"/>
                <w:sz w:val="24"/>
                <w:szCs w:val="24"/>
              </w:rPr>
              <w:t>尺寸 长23厘米 高34厘米 宽20厘米</w:t>
            </w:r>
          </w:p>
        </w:tc>
        <w:tc>
          <w:tcPr>
            <w:tcW w:w="341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377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78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861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支架式书写板</w:t>
            </w:r>
          </w:p>
        </w:tc>
        <w:tc>
          <w:tcPr>
            <w:tcW w:w="2940" w:type="pct"/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玻璃白板表层钢化玻璃、夹层是三层滚涂环保型高感光白漆、背层是防潮镀锌板、可移动、尺寸90*150cm；支架、磁吸（20个）、笔（三色、10支）、擦、清洁剂、笔托</w:t>
            </w:r>
          </w:p>
        </w:tc>
        <w:tc>
          <w:tcPr>
            <w:tcW w:w="341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套</w:t>
            </w:r>
          </w:p>
        </w:tc>
        <w:tc>
          <w:tcPr>
            <w:tcW w:w="377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78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861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打印机</w:t>
            </w:r>
          </w:p>
        </w:tc>
        <w:tc>
          <w:tcPr>
            <w:tcW w:w="2940" w:type="pct"/>
            <w:shd w:val="clear" w:color="auto" w:fill="auto"/>
            <w:noWrap/>
            <w:vAlign w:val="center"/>
          </w:tcPr>
          <w:p>
            <w:pPr>
              <w:pStyle w:val="11"/>
              <w:rPr>
                <w:rFonts w:ascii="宋体" w:hAnsi="宋体" w:cs="宋体"/>
                <w:color w:val="auto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Cs w:val="24"/>
                <w:lang w:val="en-US" w:eastAsia="zh-CN"/>
              </w:rPr>
              <w:t>参考</w:t>
            </w:r>
            <w:r>
              <w:rPr>
                <w:rFonts w:hint="eastAsia" w:ascii="宋体" w:hAnsi="宋体" w:cs="宋体"/>
                <w:color w:val="auto"/>
                <w:szCs w:val="24"/>
              </w:rPr>
              <w:t>尺寸:405*398.5*316.5mm</w:t>
            </w:r>
            <w:r>
              <w:rPr>
                <w:rFonts w:hint="eastAsia" w:ascii="宋体" w:hAnsi="宋体" w:cs="宋体"/>
                <w:color w:val="auto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Cs w:val="24"/>
              </w:rPr>
              <w:t>功能:自动双面打印 自动连续复印扫描</w:t>
            </w:r>
            <w:r>
              <w:rPr>
                <w:rFonts w:hint="eastAsia" w:ascii="宋体" w:hAnsi="宋体" w:cs="宋体"/>
                <w:color w:val="auto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szCs w:val="24"/>
              </w:rPr>
              <w:t>打印速度:约30页/分钟接口:USB2.0</w:t>
            </w:r>
          </w:p>
        </w:tc>
        <w:tc>
          <w:tcPr>
            <w:tcW w:w="341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  <w:t>台</w:t>
            </w:r>
          </w:p>
        </w:tc>
        <w:tc>
          <w:tcPr>
            <w:tcW w:w="377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78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861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挂钟</w:t>
            </w:r>
          </w:p>
        </w:tc>
        <w:tc>
          <w:tcPr>
            <w:tcW w:w="2940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  <w:t>品牌钟表；无声扫秒；尺寸约为 14寸。</w:t>
            </w:r>
          </w:p>
        </w:tc>
        <w:tc>
          <w:tcPr>
            <w:tcW w:w="341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  <w:t>台</w:t>
            </w:r>
          </w:p>
        </w:tc>
        <w:tc>
          <w:tcPr>
            <w:tcW w:w="377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78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861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台式电脑</w:t>
            </w:r>
          </w:p>
        </w:tc>
        <w:tc>
          <w:tcPr>
            <w:tcW w:w="2940" w:type="pct"/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CPUi7 13700F，内存16G，1TB HDD+512G SSD 、集显、主板B660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参考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尺寸100*303.5*274.8mm</w:t>
            </w:r>
          </w:p>
        </w:tc>
        <w:tc>
          <w:tcPr>
            <w:tcW w:w="341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  <w:t>台</w:t>
            </w:r>
          </w:p>
        </w:tc>
        <w:tc>
          <w:tcPr>
            <w:tcW w:w="377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78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861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</w:rPr>
              <w:t>笔记本电脑</w:t>
            </w:r>
          </w:p>
        </w:tc>
        <w:tc>
          <w:tcPr>
            <w:tcW w:w="2940" w:type="pct"/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lang w:bidi="ar"/>
              </w:rPr>
              <w:t>CPUi5 13500H,内存16G，1TB</w:t>
            </w:r>
          </w:p>
        </w:tc>
        <w:tc>
          <w:tcPr>
            <w:tcW w:w="341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lang w:bidi="ar"/>
              </w:rPr>
              <w:t>台</w:t>
            </w:r>
          </w:p>
        </w:tc>
        <w:tc>
          <w:tcPr>
            <w:tcW w:w="377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lang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78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861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电水壶</w:t>
            </w:r>
          </w:p>
        </w:tc>
        <w:tc>
          <w:tcPr>
            <w:tcW w:w="2940" w:type="pct"/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  <w:t>不锈钢、电热保温一体 自动断电、1.5L、1500W</w:t>
            </w:r>
          </w:p>
        </w:tc>
        <w:tc>
          <w:tcPr>
            <w:tcW w:w="341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377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78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861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职业生涯测评、规划软件</w:t>
            </w:r>
          </w:p>
        </w:tc>
        <w:tc>
          <w:tcPr>
            <w:tcW w:w="2940" w:type="pct"/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一、系统要求</w:t>
            </w:r>
          </w:p>
          <w:p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-B/S架构</w:t>
            </w:r>
          </w:p>
          <w:p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-开发语言：Java、JSP、JavaScript、CSS；</w:t>
            </w:r>
          </w:p>
          <w:p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-数据库支持：Oracle、SQL Server、DB2、Sybase、MySQL；</w:t>
            </w:r>
          </w:p>
          <w:p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-服务器支持：Windows Server、Unix；</w:t>
            </w:r>
          </w:p>
          <w:p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-Web服务器中间件：WebLogic、JBoss、Tomcat；</w:t>
            </w:r>
          </w:p>
          <w:p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-浏览器支持：IE、FireFox、Chrome、Safari；</w:t>
            </w:r>
          </w:p>
          <w:p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-本地化支持：简体中文、英文；</w:t>
            </w:r>
          </w:p>
          <w:p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-同其它系统对接支持：Web Service、jsonp；</w:t>
            </w:r>
          </w:p>
          <w:p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-系统支持并发用户数大于1000人；</w:t>
            </w:r>
          </w:p>
          <w:p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-百万数据量带全文，检索客户端响应时间：≤2秒；</w:t>
            </w:r>
          </w:p>
          <w:p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-系统7×24无故障运行；</w:t>
            </w:r>
          </w:p>
          <w:p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-有效阻止XSS、CSRF、界面操作劫持等常见的黑客Web攻击。</w:t>
            </w:r>
          </w:p>
          <w:p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二、功能要求</w:t>
            </w:r>
          </w:p>
          <w:p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- ★基于人-职-组织匹配人力资源管理理念，基于社会用人单位评价标准，选择相应的测评服务产品，有针对性地为学生的成长发展需要提供评价辅助。</w:t>
            </w:r>
          </w:p>
          <w:p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- 可同时容纳1万人在线测评——只要有网络的地方即可开展测评，提高学生参与效率，节省实施成本；</w:t>
            </w:r>
          </w:p>
          <w:p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- 功能强大的数据管理终端——快速分析学生优劣势，如：胜任力分析——对学生的素质能力（如沟通意愿、组织协调、严谨性、灵活性）认知能力（如批判思维、数字推理、言语理解等）、人格特质（如开放性、宜人性、神经质、外向性等）、工作动力（如成就动机、亲和动机、权力动机）、工作价值观（如尊重导向、独立创新等）进行全方位的分析，准确把脉候选人的胜任素质现状，个性化分析和定制群体素质能力发展计划；；</w:t>
            </w:r>
          </w:p>
          <w:p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- ★基于二维码在线快速进入测评；</w:t>
            </w:r>
          </w:p>
          <w:p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- 支持通过人机对话方式，并自动生成测评报告；</w:t>
            </w:r>
          </w:p>
          <w:p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- 支持管理后台数据汇总和导出；</w:t>
            </w:r>
          </w:p>
          <w:p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- 支持进行汇总和分析；</w:t>
            </w:r>
          </w:p>
          <w:p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三、内容要求</w:t>
            </w:r>
          </w:p>
          <w:p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- 人格特质量表：大五人格量表、工作人格量表、卡特尔16种人格因素问卷、梅耶斯-布里吉斯人格类型指示（MBTI）等与人格特质相关的测评量表；</w:t>
            </w:r>
          </w:p>
          <w:p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- 心理健康量表：症状自评量表（SCL-90）、焦虑自评量表（SAS）、抑郁自评量表（SDS）、康奈尔心理健康问卷（CM)）、大学生心理健康量表（UPI）等与心理健康相关的测评量表；</w:t>
            </w:r>
          </w:p>
          <w:p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- 职业规划量表：霍兰德职业兴趣测验、职业锚问卷（依据Schein职业锚理论而开发）、工作价值观量表（依据美国劳工部工作价值观模型而开发，包括尊严导向、上级支持、人际和谐、工作环境、独立创新和成就导向六个工作价值观维度）等与辅助职业规划工作相关的测评量表；</w:t>
            </w:r>
          </w:p>
          <w:p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- 认知能力量表：瑞文推理测验、言语理解能力测验、数字推理能力测验、逻辑推理能力测验、批判思维能力测验等与学习认知相关的测评量表；</w:t>
            </w:r>
          </w:p>
          <w:p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- 胜任力量表：</w:t>
            </w:r>
          </w:p>
          <w:p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★通用校招潜能测评、管理培训生胜任力测评、高校大学生就创业竞争力测评类：大学生就业竞争力测评、大学生创业竞争力测评。</w:t>
            </w:r>
          </w:p>
          <w:p>
            <w:pPr>
              <w:widowControl/>
              <w:textAlignment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★测评报告包含测评结果有效性分析（测评时间、完成题数、社会称许性），测评结果概况：必须包含一级维度和二级指标数据呈现，以图示方式清晰展示岗位匹配区间；个人优劣势特点分析；个人发展建议；个人面试建议；测评结果详细描述；测评结果应用建议等内容。</w:t>
            </w:r>
          </w:p>
        </w:tc>
        <w:tc>
          <w:tcPr>
            <w:tcW w:w="341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套</w:t>
            </w:r>
          </w:p>
        </w:tc>
        <w:tc>
          <w:tcPr>
            <w:tcW w:w="377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78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861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装修装饰及环境布展</w:t>
            </w:r>
          </w:p>
        </w:tc>
        <w:tc>
          <w:tcPr>
            <w:tcW w:w="2940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1、石膏板加方通吊顶30平米：石膏板加方通吊顶。室内吊顶串边34米。</w:t>
            </w:r>
          </w:p>
          <w:p>
            <w:pPr>
              <w:widowControl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2、地板35平米：品牌 1.5 强化复合地板。配套脚线35米。</w:t>
            </w:r>
          </w:p>
          <w:p>
            <w:pPr>
              <w:widowControl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3、电路开槽布线，开关灯具安装；室内及过道灯具增加。 </w:t>
            </w:r>
          </w:p>
          <w:p>
            <w:pPr>
              <w:widowControl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4、墙面处理 130平米：原有墙皮破损的修补，重新批腻子、刷乳胶漆；整体墙面品牌乳胶漆（立邦、三棵树等品牌），打砂纸，两遍乳胶漆；各功能室根据效果图调整颜色。 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5、职业指导工作室文化墙 6 面：根据据学校校园文化定制职业指导工作室文化墙。 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6、4个制度牌，亚克力制度牌尺寸约100*60cm,4个宣传框,尺寸约120*80cm.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7、2个门牌，亚克力门牌尺寸约为：27*11cm，设使用空闲提醒,可定制。</w:t>
            </w:r>
          </w:p>
          <w:p>
            <w:pPr>
              <w:pStyle w:val="40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成品套装木门2套。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9、装修垃圾清运。</w:t>
            </w:r>
          </w:p>
          <w:p>
            <w:pPr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整个职业指导工作室的装修须符合国家环保标准，根据效果图定制符合职业指导工作室特点，效果图设计，高端大气各功能室门口指示牌，造型设计，符合职业指导工作室装饰特点。</w:t>
            </w:r>
          </w:p>
        </w:tc>
        <w:tc>
          <w:tcPr>
            <w:tcW w:w="341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项</w:t>
            </w:r>
          </w:p>
        </w:tc>
        <w:tc>
          <w:tcPr>
            <w:tcW w:w="377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</w:tr>
    </w:tbl>
    <w:p/>
    <w:sectPr>
      <w:headerReference r:id="rId8" w:type="default"/>
      <w:footerReference r:id="rId9" w:type="default"/>
      <w:pgSz w:w="11906" w:h="16838"/>
      <w:pgMar w:top="1440" w:right="1633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Z8zq8sIBAACNAwAADgAAAGRycy9lMm9Eb2MueG1srVPNjtMwEL4j8Q6W&#10;79TZSou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m5BoTbQ8LCpZ+MOkJNxXBKhdG0UXkNHt9L1sNftPk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GfM6vLCAQAAjQ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2JFlysIBAACNAwAADgAAAGRycy9lMm9Eb2MueG1srVPNjtMwEL4j8Q6W&#10;79TZaoW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m5BoTbQ8LCpZ+MOkJNxXBKhdG0UXkNHt9L1sNftPk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NiRZcrCAQAAjQ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center"/>
    </w:pP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66C/ssAgAAV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nroL+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15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1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pBdr>
        <w:bottom w:val="none" w:color="auto" w:sz="0" w:space="0"/>
      </w:pBdr>
      <w:rPr>
        <w:color w:val="548DD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43736A4"/>
    <w:multiLevelType w:val="multilevel"/>
    <w:tmpl w:val="743736A4"/>
    <w:lvl w:ilvl="0" w:tentative="0">
      <w:start w:val="8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hNDljOTA3NGJiZTQwZDk2ZGY5NGRmMTgwNWM3NTQifQ=="/>
  </w:docVars>
  <w:rsids>
    <w:rsidRoot w:val="41ED52EF"/>
    <w:rsid w:val="001120CD"/>
    <w:rsid w:val="00193E4A"/>
    <w:rsid w:val="0026130D"/>
    <w:rsid w:val="00261677"/>
    <w:rsid w:val="005576D9"/>
    <w:rsid w:val="00811627"/>
    <w:rsid w:val="00970033"/>
    <w:rsid w:val="00A36797"/>
    <w:rsid w:val="00D26D9F"/>
    <w:rsid w:val="00D41B70"/>
    <w:rsid w:val="0105687C"/>
    <w:rsid w:val="013446C1"/>
    <w:rsid w:val="014C4DA3"/>
    <w:rsid w:val="016814B1"/>
    <w:rsid w:val="01934780"/>
    <w:rsid w:val="027C5214"/>
    <w:rsid w:val="03241355"/>
    <w:rsid w:val="033E23D4"/>
    <w:rsid w:val="0375005C"/>
    <w:rsid w:val="03764651"/>
    <w:rsid w:val="03C55E5C"/>
    <w:rsid w:val="03EC461B"/>
    <w:rsid w:val="03FE03D1"/>
    <w:rsid w:val="041A2480"/>
    <w:rsid w:val="04245197"/>
    <w:rsid w:val="04D1571B"/>
    <w:rsid w:val="051F4FA7"/>
    <w:rsid w:val="065B15E4"/>
    <w:rsid w:val="06B9739A"/>
    <w:rsid w:val="07456CFC"/>
    <w:rsid w:val="076D7821"/>
    <w:rsid w:val="078C0D1B"/>
    <w:rsid w:val="07CB4548"/>
    <w:rsid w:val="08803584"/>
    <w:rsid w:val="088C017B"/>
    <w:rsid w:val="08A92ADB"/>
    <w:rsid w:val="08C5229E"/>
    <w:rsid w:val="08E6152E"/>
    <w:rsid w:val="09896468"/>
    <w:rsid w:val="0AA20BCD"/>
    <w:rsid w:val="0B024724"/>
    <w:rsid w:val="0B855761"/>
    <w:rsid w:val="0B9D61FB"/>
    <w:rsid w:val="0BB35A1E"/>
    <w:rsid w:val="0C0369A6"/>
    <w:rsid w:val="0C186C21"/>
    <w:rsid w:val="0C394405"/>
    <w:rsid w:val="0C840865"/>
    <w:rsid w:val="0CD2132B"/>
    <w:rsid w:val="0D4234FE"/>
    <w:rsid w:val="0D440D18"/>
    <w:rsid w:val="0DDC125D"/>
    <w:rsid w:val="0E0C76A0"/>
    <w:rsid w:val="0E5A03D3"/>
    <w:rsid w:val="0E5B1A25"/>
    <w:rsid w:val="0E5E32FF"/>
    <w:rsid w:val="0E864717"/>
    <w:rsid w:val="0ED816A6"/>
    <w:rsid w:val="0F304D48"/>
    <w:rsid w:val="0F384BB8"/>
    <w:rsid w:val="0F73799F"/>
    <w:rsid w:val="0FA23B30"/>
    <w:rsid w:val="0FA61B22"/>
    <w:rsid w:val="0FAD4E79"/>
    <w:rsid w:val="107424C9"/>
    <w:rsid w:val="108E4341"/>
    <w:rsid w:val="109A23E7"/>
    <w:rsid w:val="10FA0A8C"/>
    <w:rsid w:val="1125701E"/>
    <w:rsid w:val="113029F4"/>
    <w:rsid w:val="11407D54"/>
    <w:rsid w:val="1197139E"/>
    <w:rsid w:val="119F2ED4"/>
    <w:rsid w:val="12644677"/>
    <w:rsid w:val="12797E16"/>
    <w:rsid w:val="13651CF4"/>
    <w:rsid w:val="136832FB"/>
    <w:rsid w:val="13CE33F5"/>
    <w:rsid w:val="13F46ECF"/>
    <w:rsid w:val="1457163D"/>
    <w:rsid w:val="14720225"/>
    <w:rsid w:val="15853F88"/>
    <w:rsid w:val="15A309DC"/>
    <w:rsid w:val="15E74C42"/>
    <w:rsid w:val="166B344C"/>
    <w:rsid w:val="179E3A27"/>
    <w:rsid w:val="18386F24"/>
    <w:rsid w:val="1890336F"/>
    <w:rsid w:val="189F6752"/>
    <w:rsid w:val="18AE7C99"/>
    <w:rsid w:val="193427AD"/>
    <w:rsid w:val="193957B5"/>
    <w:rsid w:val="196071E6"/>
    <w:rsid w:val="19AF0D60"/>
    <w:rsid w:val="1A952EBF"/>
    <w:rsid w:val="1ACD08AB"/>
    <w:rsid w:val="1AEF6A73"/>
    <w:rsid w:val="1CD53A47"/>
    <w:rsid w:val="1D1F4CC2"/>
    <w:rsid w:val="1DD27F86"/>
    <w:rsid w:val="1E1C7453"/>
    <w:rsid w:val="1E2307E2"/>
    <w:rsid w:val="1E847AA6"/>
    <w:rsid w:val="1E9B5C03"/>
    <w:rsid w:val="1F0C52E3"/>
    <w:rsid w:val="1F901280"/>
    <w:rsid w:val="201E15E0"/>
    <w:rsid w:val="202D5948"/>
    <w:rsid w:val="20915ED7"/>
    <w:rsid w:val="21311468"/>
    <w:rsid w:val="215A6C10"/>
    <w:rsid w:val="21DF2C72"/>
    <w:rsid w:val="220152DE"/>
    <w:rsid w:val="22397055"/>
    <w:rsid w:val="22B41814"/>
    <w:rsid w:val="22C87E24"/>
    <w:rsid w:val="22FB3ADB"/>
    <w:rsid w:val="237822C1"/>
    <w:rsid w:val="23AB3753"/>
    <w:rsid w:val="23BE795E"/>
    <w:rsid w:val="23E96639"/>
    <w:rsid w:val="24392B0D"/>
    <w:rsid w:val="245219D6"/>
    <w:rsid w:val="24B34F19"/>
    <w:rsid w:val="24EA3E07"/>
    <w:rsid w:val="24ED4D4D"/>
    <w:rsid w:val="251F728E"/>
    <w:rsid w:val="25575B08"/>
    <w:rsid w:val="256F64AA"/>
    <w:rsid w:val="257177C2"/>
    <w:rsid w:val="257F09F3"/>
    <w:rsid w:val="261C7FBB"/>
    <w:rsid w:val="261F20D3"/>
    <w:rsid w:val="26290885"/>
    <w:rsid w:val="26BB7348"/>
    <w:rsid w:val="26FE1DEC"/>
    <w:rsid w:val="27201D62"/>
    <w:rsid w:val="273E4AFB"/>
    <w:rsid w:val="27A40BE5"/>
    <w:rsid w:val="28A54C15"/>
    <w:rsid w:val="2909285F"/>
    <w:rsid w:val="292673D8"/>
    <w:rsid w:val="293A3D67"/>
    <w:rsid w:val="29D357B2"/>
    <w:rsid w:val="2A9A1E2C"/>
    <w:rsid w:val="2AF4778E"/>
    <w:rsid w:val="2B4029D3"/>
    <w:rsid w:val="2B674A91"/>
    <w:rsid w:val="2C8903AA"/>
    <w:rsid w:val="2C9A4DE1"/>
    <w:rsid w:val="2CB9597D"/>
    <w:rsid w:val="2CE13647"/>
    <w:rsid w:val="2CFE19E4"/>
    <w:rsid w:val="2D1660E1"/>
    <w:rsid w:val="2D4C2AF0"/>
    <w:rsid w:val="2D662499"/>
    <w:rsid w:val="2D83129D"/>
    <w:rsid w:val="2DA03BFD"/>
    <w:rsid w:val="2E4E18AB"/>
    <w:rsid w:val="2E6E5AA9"/>
    <w:rsid w:val="2E8A00DF"/>
    <w:rsid w:val="2EA93C46"/>
    <w:rsid w:val="2EC76F67"/>
    <w:rsid w:val="2ED33EAD"/>
    <w:rsid w:val="2F0E1B31"/>
    <w:rsid w:val="2F122550"/>
    <w:rsid w:val="2F9C5AF8"/>
    <w:rsid w:val="2FA84FEB"/>
    <w:rsid w:val="2FD933F6"/>
    <w:rsid w:val="2FEA73B1"/>
    <w:rsid w:val="30017E4F"/>
    <w:rsid w:val="30875C73"/>
    <w:rsid w:val="309612E7"/>
    <w:rsid w:val="315A446D"/>
    <w:rsid w:val="316764A3"/>
    <w:rsid w:val="31F47267"/>
    <w:rsid w:val="3286509B"/>
    <w:rsid w:val="3307027A"/>
    <w:rsid w:val="33296443"/>
    <w:rsid w:val="33EF354A"/>
    <w:rsid w:val="34034E22"/>
    <w:rsid w:val="34335EE7"/>
    <w:rsid w:val="34827923"/>
    <w:rsid w:val="35751AF2"/>
    <w:rsid w:val="35753BC1"/>
    <w:rsid w:val="357F67EE"/>
    <w:rsid w:val="35986AE3"/>
    <w:rsid w:val="35C27C1F"/>
    <w:rsid w:val="361E1B63"/>
    <w:rsid w:val="3647586B"/>
    <w:rsid w:val="367E6AA5"/>
    <w:rsid w:val="36F164FB"/>
    <w:rsid w:val="37021850"/>
    <w:rsid w:val="375A306E"/>
    <w:rsid w:val="375F35B5"/>
    <w:rsid w:val="37621F23"/>
    <w:rsid w:val="379367FA"/>
    <w:rsid w:val="379A16BD"/>
    <w:rsid w:val="37DA7D0B"/>
    <w:rsid w:val="385642E0"/>
    <w:rsid w:val="389B393F"/>
    <w:rsid w:val="3991089E"/>
    <w:rsid w:val="39B8407C"/>
    <w:rsid w:val="39D76BF8"/>
    <w:rsid w:val="39E9692C"/>
    <w:rsid w:val="3A0C3897"/>
    <w:rsid w:val="3A1E2BA9"/>
    <w:rsid w:val="3A2B484E"/>
    <w:rsid w:val="3A7A76E3"/>
    <w:rsid w:val="3A9C5CEB"/>
    <w:rsid w:val="3AD44EE6"/>
    <w:rsid w:val="3B416554"/>
    <w:rsid w:val="3BBB5DFA"/>
    <w:rsid w:val="3C655E40"/>
    <w:rsid w:val="3CAF79B9"/>
    <w:rsid w:val="3E2A34A4"/>
    <w:rsid w:val="3F776778"/>
    <w:rsid w:val="3FD2455B"/>
    <w:rsid w:val="40300A76"/>
    <w:rsid w:val="404428E8"/>
    <w:rsid w:val="40740D93"/>
    <w:rsid w:val="40827192"/>
    <w:rsid w:val="40B206C8"/>
    <w:rsid w:val="40B803DC"/>
    <w:rsid w:val="40D95004"/>
    <w:rsid w:val="40E63BC5"/>
    <w:rsid w:val="40ED0AAF"/>
    <w:rsid w:val="416962D8"/>
    <w:rsid w:val="41970A1B"/>
    <w:rsid w:val="41ED52EF"/>
    <w:rsid w:val="423B76A2"/>
    <w:rsid w:val="42984CC3"/>
    <w:rsid w:val="432E30A8"/>
    <w:rsid w:val="43302ED5"/>
    <w:rsid w:val="435563EC"/>
    <w:rsid w:val="43C23958"/>
    <w:rsid w:val="440B53BD"/>
    <w:rsid w:val="44384737"/>
    <w:rsid w:val="445C1CEB"/>
    <w:rsid w:val="44E67CEF"/>
    <w:rsid w:val="451F1690"/>
    <w:rsid w:val="458D3152"/>
    <w:rsid w:val="460530ED"/>
    <w:rsid w:val="46780E1B"/>
    <w:rsid w:val="46A37E92"/>
    <w:rsid w:val="46FE3A16"/>
    <w:rsid w:val="47431429"/>
    <w:rsid w:val="47857C94"/>
    <w:rsid w:val="47B0389F"/>
    <w:rsid w:val="488717E9"/>
    <w:rsid w:val="4AAE017F"/>
    <w:rsid w:val="4ADC1197"/>
    <w:rsid w:val="4AF84C20"/>
    <w:rsid w:val="4AF97A1B"/>
    <w:rsid w:val="4B11724C"/>
    <w:rsid w:val="4B253936"/>
    <w:rsid w:val="4B3A18E6"/>
    <w:rsid w:val="4BB5041C"/>
    <w:rsid w:val="4C39729F"/>
    <w:rsid w:val="4CBD13AA"/>
    <w:rsid w:val="4D021BEE"/>
    <w:rsid w:val="4D622825"/>
    <w:rsid w:val="4D77007F"/>
    <w:rsid w:val="4DA30E74"/>
    <w:rsid w:val="4DA4699A"/>
    <w:rsid w:val="4DA753F5"/>
    <w:rsid w:val="4DCE3A17"/>
    <w:rsid w:val="4E3A4DF0"/>
    <w:rsid w:val="4E3E3FEC"/>
    <w:rsid w:val="4E4E3631"/>
    <w:rsid w:val="4F0B3174"/>
    <w:rsid w:val="4F8922EB"/>
    <w:rsid w:val="4FD25A40"/>
    <w:rsid w:val="504B3267"/>
    <w:rsid w:val="50692B61"/>
    <w:rsid w:val="50B462AE"/>
    <w:rsid w:val="510D2AA8"/>
    <w:rsid w:val="5131718D"/>
    <w:rsid w:val="51A229D8"/>
    <w:rsid w:val="51E11F6A"/>
    <w:rsid w:val="51FA5968"/>
    <w:rsid w:val="520B6FE7"/>
    <w:rsid w:val="523A5B1F"/>
    <w:rsid w:val="52BC7A8F"/>
    <w:rsid w:val="52CF6E12"/>
    <w:rsid w:val="52EE0876"/>
    <w:rsid w:val="533C7840"/>
    <w:rsid w:val="53513EE3"/>
    <w:rsid w:val="535A6478"/>
    <w:rsid w:val="53681BC2"/>
    <w:rsid w:val="53692C3C"/>
    <w:rsid w:val="53794425"/>
    <w:rsid w:val="53964FD7"/>
    <w:rsid w:val="543E4FA0"/>
    <w:rsid w:val="54C91B2C"/>
    <w:rsid w:val="54DF6509"/>
    <w:rsid w:val="550125CE"/>
    <w:rsid w:val="551268DF"/>
    <w:rsid w:val="55180399"/>
    <w:rsid w:val="55264138"/>
    <w:rsid w:val="554C0807"/>
    <w:rsid w:val="566273F2"/>
    <w:rsid w:val="570D1A54"/>
    <w:rsid w:val="571903F8"/>
    <w:rsid w:val="5738031D"/>
    <w:rsid w:val="57572E94"/>
    <w:rsid w:val="57AC7529"/>
    <w:rsid w:val="57D218F4"/>
    <w:rsid w:val="57D8796C"/>
    <w:rsid w:val="58045615"/>
    <w:rsid w:val="58810003"/>
    <w:rsid w:val="588418A2"/>
    <w:rsid w:val="592501EA"/>
    <w:rsid w:val="597638E0"/>
    <w:rsid w:val="59D6612D"/>
    <w:rsid w:val="59D86349"/>
    <w:rsid w:val="5A1B7FE4"/>
    <w:rsid w:val="5A7233D9"/>
    <w:rsid w:val="5A9658BC"/>
    <w:rsid w:val="5AA9097C"/>
    <w:rsid w:val="5AB0141B"/>
    <w:rsid w:val="5AF55530"/>
    <w:rsid w:val="5B276486"/>
    <w:rsid w:val="5B8878FB"/>
    <w:rsid w:val="5BFE2871"/>
    <w:rsid w:val="5C4A09A4"/>
    <w:rsid w:val="5CA61FE4"/>
    <w:rsid w:val="5CA644DC"/>
    <w:rsid w:val="5D6739D7"/>
    <w:rsid w:val="5DAB4405"/>
    <w:rsid w:val="5DB04EE7"/>
    <w:rsid w:val="5DBF4BAA"/>
    <w:rsid w:val="5E082F75"/>
    <w:rsid w:val="5E802AE7"/>
    <w:rsid w:val="5EB506B9"/>
    <w:rsid w:val="5EC4476B"/>
    <w:rsid w:val="5EF51A4A"/>
    <w:rsid w:val="5FC37153"/>
    <w:rsid w:val="60105084"/>
    <w:rsid w:val="60255B64"/>
    <w:rsid w:val="60B346F1"/>
    <w:rsid w:val="60BD3BA3"/>
    <w:rsid w:val="61241E74"/>
    <w:rsid w:val="61497B59"/>
    <w:rsid w:val="619F774C"/>
    <w:rsid w:val="61F41846"/>
    <w:rsid w:val="628F77C1"/>
    <w:rsid w:val="632A1297"/>
    <w:rsid w:val="648502B4"/>
    <w:rsid w:val="64C729AF"/>
    <w:rsid w:val="65E004AC"/>
    <w:rsid w:val="661528F6"/>
    <w:rsid w:val="663E5786"/>
    <w:rsid w:val="665B6687"/>
    <w:rsid w:val="66CF4630"/>
    <w:rsid w:val="676E5BF7"/>
    <w:rsid w:val="67727B56"/>
    <w:rsid w:val="67803B7C"/>
    <w:rsid w:val="68804B90"/>
    <w:rsid w:val="68E048D2"/>
    <w:rsid w:val="69562DE6"/>
    <w:rsid w:val="696C43B8"/>
    <w:rsid w:val="69C9180A"/>
    <w:rsid w:val="6A415844"/>
    <w:rsid w:val="6A471A1A"/>
    <w:rsid w:val="6AA10091"/>
    <w:rsid w:val="6BA52EC6"/>
    <w:rsid w:val="6D5D5560"/>
    <w:rsid w:val="6D8F463D"/>
    <w:rsid w:val="6E296D72"/>
    <w:rsid w:val="6E443B55"/>
    <w:rsid w:val="6ED36C87"/>
    <w:rsid w:val="704716DB"/>
    <w:rsid w:val="707D50FC"/>
    <w:rsid w:val="718129CA"/>
    <w:rsid w:val="71AC495F"/>
    <w:rsid w:val="71C71473"/>
    <w:rsid w:val="724D23DE"/>
    <w:rsid w:val="724D2CC7"/>
    <w:rsid w:val="725956F5"/>
    <w:rsid w:val="72854588"/>
    <w:rsid w:val="730D09BA"/>
    <w:rsid w:val="734939BC"/>
    <w:rsid w:val="7383472E"/>
    <w:rsid w:val="73C848E1"/>
    <w:rsid w:val="74AA2238"/>
    <w:rsid w:val="74FD4A5E"/>
    <w:rsid w:val="751750B1"/>
    <w:rsid w:val="75B07D22"/>
    <w:rsid w:val="761B163F"/>
    <w:rsid w:val="76291BD2"/>
    <w:rsid w:val="76C21ABB"/>
    <w:rsid w:val="77112A42"/>
    <w:rsid w:val="771A4456"/>
    <w:rsid w:val="77B61F84"/>
    <w:rsid w:val="785B3F75"/>
    <w:rsid w:val="78713799"/>
    <w:rsid w:val="78874D6A"/>
    <w:rsid w:val="78B57239"/>
    <w:rsid w:val="78C23EB9"/>
    <w:rsid w:val="78F30652"/>
    <w:rsid w:val="79320EC1"/>
    <w:rsid w:val="795A080C"/>
    <w:rsid w:val="7973301B"/>
    <w:rsid w:val="79986075"/>
    <w:rsid w:val="7B3867F0"/>
    <w:rsid w:val="7B6E3FBF"/>
    <w:rsid w:val="7BB265A2"/>
    <w:rsid w:val="7BCD4E47"/>
    <w:rsid w:val="7BEB1AB4"/>
    <w:rsid w:val="7BF86DC2"/>
    <w:rsid w:val="7C4E4C8C"/>
    <w:rsid w:val="7C574A54"/>
    <w:rsid w:val="7CAA5B44"/>
    <w:rsid w:val="7CAF663E"/>
    <w:rsid w:val="7D17173B"/>
    <w:rsid w:val="7D242E40"/>
    <w:rsid w:val="7D2F777E"/>
    <w:rsid w:val="7D637428"/>
    <w:rsid w:val="7D6F1533"/>
    <w:rsid w:val="7EBF4B32"/>
    <w:rsid w:val="7EE767C9"/>
    <w:rsid w:val="7F0B1988"/>
    <w:rsid w:val="7F4E65E2"/>
    <w:rsid w:val="7F7B314F"/>
    <w:rsid w:val="7F923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qFormat="1" w:uiPriority="39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8"/>
    <w:qFormat/>
    <w:uiPriority w:val="9"/>
    <w:pPr>
      <w:keepNext/>
      <w:keepLines/>
      <w:spacing w:line="440" w:lineRule="exact"/>
      <w:jc w:val="left"/>
      <w:outlineLvl w:val="0"/>
    </w:pPr>
    <w:rPr>
      <w:rFonts w:ascii="Times New Roman" w:hAnsi="Times New Roman" w:eastAsia="微软雅黑"/>
      <w:b/>
      <w:bCs/>
      <w:kern w:val="44"/>
      <w:sz w:val="28"/>
      <w:szCs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120" w:after="120"/>
      <w:outlineLvl w:val="1"/>
    </w:pPr>
    <w:rPr>
      <w:rFonts w:ascii="Cambria" w:hAnsi="Cambria" w:eastAsia="微软雅黑"/>
      <w:b/>
      <w:bCs/>
      <w:sz w:val="28"/>
      <w:szCs w:val="32"/>
    </w:rPr>
  </w:style>
  <w:style w:type="paragraph" w:styleId="4">
    <w:name w:val="heading 3"/>
    <w:basedOn w:val="1"/>
    <w:next w:val="1"/>
    <w:unhideWhenUsed/>
    <w:qFormat/>
    <w:uiPriority w:val="9"/>
    <w:pPr>
      <w:spacing w:before="100" w:beforeAutospacing="1" w:after="100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4"/>
    </w:pPr>
    <w:rPr>
      <w:b/>
      <w:sz w:val="28"/>
    </w:rPr>
  </w:style>
  <w:style w:type="paragraph" w:styleId="7">
    <w:name w:val="heading 6"/>
    <w:basedOn w:val="1"/>
    <w:next w:val="1"/>
    <w:unhideWhenUsed/>
    <w:qFormat/>
    <w:uiPriority w:val="0"/>
    <w:pPr>
      <w:keepNext/>
      <w:keepLines/>
      <w:spacing w:before="240" w:after="64" w:line="317" w:lineRule="auto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unhideWhenUsed/>
    <w:qFormat/>
    <w:uiPriority w:val="0"/>
    <w:pPr>
      <w:keepNext/>
      <w:keepLines/>
      <w:spacing w:before="240" w:after="64" w:line="317" w:lineRule="auto"/>
      <w:outlineLvl w:val="6"/>
    </w:pPr>
    <w:rPr>
      <w:b/>
      <w:sz w:val="24"/>
    </w:rPr>
  </w:style>
  <w:style w:type="paragraph" w:styleId="9">
    <w:name w:val="heading 8"/>
    <w:basedOn w:val="1"/>
    <w:next w:val="1"/>
    <w:unhideWhenUsed/>
    <w:qFormat/>
    <w:uiPriority w:val="0"/>
    <w:pPr>
      <w:keepNext/>
      <w:keepLines/>
      <w:spacing w:before="240" w:after="64" w:line="317" w:lineRule="auto"/>
      <w:outlineLvl w:val="7"/>
    </w:pPr>
    <w:rPr>
      <w:rFonts w:ascii="Arial" w:hAnsi="Arial" w:eastAsia="黑体"/>
      <w:sz w:val="24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toa heading"/>
    <w:basedOn w:val="1"/>
    <w:next w:val="1"/>
    <w:qFormat/>
    <w:uiPriority w:val="0"/>
    <w:pPr>
      <w:spacing w:before="120"/>
    </w:pPr>
    <w:rPr>
      <w:rFonts w:ascii="Arial" w:hAnsi="Arial"/>
      <w:sz w:val="24"/>
    </w:rPr>
  </w:style>
  <w:style w:type="paragraph" w:styleId="11">
    <w:name w:val="Body Text"/>
    <w:basedOn w:val="1"/>
    <w:next w:val="12"/>
    <w:unhideWhenUsed/>
    <w:qFormat/>
    <w:uiPriority w:val="99"/>
    <w:rPr>
      <w:rFonts w:ascii="Times New Roman" w:hAnsi="Times New Roman"/>
      <w:sz w:val="24"/>
      <w:szCs w:val="20"/>
    </w:rPr>
  </w:style>
  <w:style w:type="paragraph" w:styleId="12">
    <w:name w:val="toc 8"/>
    <w:basedOn w:val="1"/>
    <w:next w:val="1"/>
    <w:unhideWhenUsed/>
    <w:qFormat/>
    <w:uiPriority w:val="39"/>
    <w:pPr>
      <w:ind w:left="2940" w:leftChars="1400"/>
    </w:pPr>
    <w:rPr>
      <w:rFonts w:asciiTheme="minorHAnsi" w:hAnsiTheme="minorHAnsi" w:eastAsiaTheme="minorEastAsia" w:cstheme="minorBidi"/>
    </w:rPr>
  </w:style>
  <w:style w:type="paragraph" w:styleId="13">
    <w:name w:val="Body Text Indent"/>
    <w:basedOn w:val="1"/>
    <w:next w:val="14"/>
    <w:qFormat/>
    <w:uiPriority w:val="0"/>
    <w:pPr>
      <w:ind w:firstLine="645"/>
    </w:pPr>
    <w:rPr>
      <w:rFonts w:ascii="楷体_GB2312" w:eastAsia="楷体_GB2312"/>
      <w:sz w:val="32"/>
    </w:rPr>
  </w:style>
  <w:style w:type="paragraph" w:styleId="1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1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16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1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  <w:szCs w:val="24"/>
    </w:rPr>
  </w:style>
  <w:style w:type="table" w:styleId="19">
    <w:name w:val="Table Grid"/>
    <w:basedOn w:val="18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Strong"/>
    <w:basedOn w:val="20"/>
    <w:qFormat/>
    <w:uiPriority w:val="0"/>
    <w:rPr>
      <w:b/>
      <w:bCs/>
    </w:rPr>
  </w:style>
  <w:style w:type="character" w:customStyle="1" w:styleId="22">
    <w:name w:val="font31"/>
    <w:basedOn w:val="20"/>
    <w:qFormat/>
    <w:uiPriority w:val="0"/>
    <w:rPr>
      <w:rFonts w:hint="eastAsia" w:ascii="微软雅黑" w:hAnsi="微软雅黑" w:eastAsia="微软雅黑" w:cs="微软雅黑"/>
      <w:color w:val="000000"/>
      <w:sz w:val="22"/>
      <w:szCs w:val="22"/>
      <w:u w:val="none"/>
    </w:rPr>
  </w:style>
  <w:style w:type="character" w:customStyle="1" w:styleId="23">
    <w:name w:val="font41"/>
    <w:basedOn w:val="20"/>
    <w:qFormat/>
    <w:uiPriority w:val="0"/>
    <w:rPr>
      <w:rFonts w:hint="eastAsia" w:ascii="微软雅黑" w:hAnsi="微软雅黑" w:eastAsia="微软雅黑" w:cs="微软雅黑"/>
      <w:color w:val="000000"/>
      <w:sz w:val="22"/>
      <w:szCs w:val="22"/>
      <w:u w:val="none"/>
      <w:vertAlign w:val="superscript"/>
    </w:rPr>
  </w:style>
  <w:style w:type="character" w:customStyle="1" w:styleId="24">
    <w:name w:val="font51"/>
    <w:basedOn w:val="20"/>
    <w:qFormat/>
    <w:uiPriority w:val="0"/>
    <w:rPr>
      <w:rFonts w:hint="eastAsia" w:ascii="微软雅黑" w:hAnsi="微软雅黑" w:eastAsia="微软雅黑" w:cs="微软雅黑"/>
      <w:color w:val="000000"/>
      <w:sz w:val="22"/>
      <w:szCs w:val="22"/>
      <w:u w:val="none"/>
    </w:rPr>
  </w:style>
  <w:style w:type="character" w:customStyle="1" w:styleId="25">
    <w:name w:val="font11"/>
    <w:basedOn w:val="20"/>
    <w:qFormat/>
    <w:uiPriority w:val="0"/>
    <w:rPr>
      <w:rFonts w:hint="eastAsia" w:ascii="微软雅黑" w:hAnsi="微软雅黑" w:eastAsia="微软雅黑" w:cs="微软雅黑"/>
      <w:color w:val="000000"/>
      <w:sz w:val="22"/>
      <w:szCs w:val="22"/>
      <w:u w:val="none"/>
      <w:vertAlign w:val="superscript"/>
    </w:rPr>
  </w:style>
  <w:style w:type="character" w:customStyle="1" w:styleId="26">
    <w:name w:val="font01"/>
    <w:basedOn w:val="20"/>
    <w:qFormat/>
    <w:uiPriority w:val="0"/>
    <w:rPr>
      <w:rFonts w:ascii="宋体" w:hAnsi="宋体" w:eastAsia="宋体" w:cs="宋体"/>
      <w:color w:val="000000"/>
      <w:sz w:val="22"/>
      <w:szCs w:val="22"/>
      <w:u w:val="none"/>
    </w:rPr>
  </w:style>
  <w:style w:type="character" w:customStyle="1" w:styleId="27">
    <w:name w:val="font21"/>
    <w:basedOn w:val="20"/>
    <w:qFormat/>
    <w:uiPriority w:val="0"/>
    <w:rPr>
      <w:rFonts w:hint="eastAsia" w:ascii="微软雅黑" w:hAnsi="微软雅黑" w:eastAsia="微软雅黑" w:cs="微软雅黑"/>
      <w:color w:val="000000"/>
      <w:sz w:val="22"/>
      <w:szCs w:val="22"/>
      <w:u w:val="none"/>
    </w:rPr>
  </w:style>
  <w:style w:type="character" w:customStyle="1" w:styleId="28">
    <w:name w:val="font271"/>
    <w:basedOn w:val="20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9">
    <w:name w:val="font301"/>
    <w:basedOn w:val="20"/>
    <w:qFormat/>
    <w:uiPriority w:val="0"/>
    <w:rPr>
      <w:rFonts w:hint="eastAsia" w:ascii="宋体" w:hAnsi="宋体" w:eastAsia="宋体" w:cs="宋体"/>
      <w:color w:val="404040"/>
      <w:sz w:val="21"/>
      <w:szCs w:val="21"/>
      <w:u w:val="none"/>
    </w:rPr>
  </w:style>
  <w:style w:type="character" w:customStyle="1" w:styleId="30">
    <w:name w:val="font281"/>
    <w:basedOn w:val="20"/>
    <w:qFormat/>
    <w:uiPriority w:val="0"/>
    <w:rPr>
      <w:rFonts w:hint="eastAsia" w:ascii="宋体" w:hAnsi="宋体" w:eastAsia="宋体" w:cs="宋体"/>
      <w:color w:val="333333"/>
      <w:sz w:val="21"/>
      <w:szCs w:val="21"/>
      <w:u w:val="none"/>
    </w:rPr>
  </w:style>
  <w:style w:type="character" w:customStyle="1" w:styleId="31">
    <w:name w:val="font151"/>
    <w:basedOn w:val="20"/>
    <w:qFormat/>
    <w:uiPriority w:val="0"/>
    <w:rPr>
      <w:rFonts w:hint="default" w:ascii="Times New Roman" w:hAnsi="Times New Roman" w:cs="Times New Roman"/>
      <w:color w:val="333333"/>
      <w:sz w:val="21"/>
      <w:szCs w:val="21"/>
      <w:u w:val="none"/>
    </w:rPr>
  </w:style>
  <w:style w:type="character" w:customStyle="1" w:styleId="32">
    <w:name w:val="font291"/>
    <w:basedOn w:val="2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33">
    <w:name w:val="font201"/>
    <w:basedOn w:val="20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34">
    <w:name w:val="font312"/>
    <w:basedOn w:val="20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35">
    <w:name w:val="font221"/>
    <w:basedOn w:val="20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36">
    <w:name w:val="font241"/>
    <w:basedOn w:val="20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37">
    <w:name w:val="font231"/>
    <w:basedOn w:val="20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38">
    <w:name w:val="标题 1 Char"/>
    <w:link w:val="2"/>
    <w:qFormat/>
    <w:uiPriority w:val="9"/>
    <w:rPr>
      <w:rFonts w:ascii="Times New Roman" w:hAnsi="Times New Roman" w:eastAsia="微软雅黑"/>
      <w:b/>
      <w:bCs/>
      <w:kern w:val="44"/>
      <w:sz w:val="28"/>
      <w:szCs w:val="44"/>
    </w:rPr>
  </w:style>
  <w:style w:type="paragraph" w:customStyle="1" w:styleId="39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styleId="4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header" Target="header3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573</Words>
  <Characters>3269</Characters>
  <Lines>27</Lines>
  <Paragraphs>7</Paragraphs>
  <TotalTime>8</TotalTime>
  <ScaleCrop>false</ScaleCrop>
  <LinksUpToDate>false</LinksUpToDate>
  <CharactersWithSpaces>3835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2023-10-27T01:26:00Z</dcterms:created>
  <dc:creator>WPS_547274</dc:creator>
  <cp:lastModifiedBy>品诺酒店用品</cp:lastModifiedBy>
  <dcterms:modified xsi:type="dcterms:W3CDTF">2023-10-30T07:21:03Z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8FC3C1522B704F58A3E63B47E8FD970A_13</vt:lpwstr>
  </property>
</Properties>
</file>